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A81C1" w14:textId="7916F330" w:rsidR="00F558EC" w:rsidRDefault="00D37FDE" w:rsidP="00D37FDE">
      <w:pPr>
        <w:rPr>
          <w:rFonts w:ascii="Arial" w:eastAsia="Arial" w:hAnsi="Arial" w:cs="Arial"/>
        </w:rPr>
      </w:pPr>
      <w:proofErr w:type="spellStart"/>
      <w:r>
        <w:rPr>
          <w:rFonts w:ascii="Arial" w:eastAsia="Arial" w:hAnsi="Arial" w:cs="Arial"/>
        </w:rPr>
        <w:t>Sayı</w:t>
      </w:r>
      <w:proofErr w:type="spellEnd"/>
      <w:r>
        <w:rPr>
          <w:rFonts w:ascii="Arial" w:eastAsia="Arial" w:hAnsi="Arial" w:cs="Arial"/>
        </w:rPr>
        <w:tab/>
        <w:t>:</w:t>
      </w:r>
      <w:r w:rsidR="00F53AB7">
        <w:rPr>
          <w:rFonts w:ascii="Arial" w:eastAsia="Arial" w:hAnsi="Arial" w:cs="Arial"/>
        </w:rPr>
        <w:t xml:space="preserve"> 2024/1</w:t>
      </w:r>
      <w:r w:rsidR="00F53AB7">
        <w:rPr>
          <w:rFonts w:ascii="Arial" w:eastAsia="Arial" w:hAnsi="Arial" w:cs="Arial"/>
        </w:rPr>
        <w:tab/>
      </w:r>
      <w:r w:rsidR="00F53AB7">
        <w:rPr>
          <w:rFonts w:ascii="Arial" w:eastAsia="Arial" w:hAnsi="Arial" w:cs="Arial"/>
        </w:rPr>
        <w:tab/>
      </w:r>
      <w:r w:rsidR="00F53AB7">
        <w:rPr>
          <w:rFonts w:ascii="Arial" w:eastAsia="Arial" w:hAnsi="Arial" w:cs="Arial"/>
        </w:rPr>
        <w:tab/>
      </w:r>
      <w:r w:rsidR="00F53AB7">
        <w:rPr>
          <w:rFonts w:ascii="Arial" w:eastAsia="Arial" w:hAnsi="Arial" w:cs="Arial"/>
        </w:rPr>
        <w:tab/>
      </w:r>
      <w:r w:rsidR="00F53AB7">
        <w:rPr>
          <w:rFonts w:ascii="Arial" w:eastAsia="Arial" w:hAnsi="Arial" w:cs="Arial"/>
        </w:rPr>
        <w:tab/>
      </w:r>
      <w:r w:rsidR="00F53AB7">
        <w:rPr>
          <w:rFonts w:ascii="Arial" w:eastAsia="Arial" w:hAnsi="Arial" w:cs="Arial"/>
        </w:rPr>
        <w:tab/>
      </w:r>
      <w:r w:rsidR="00F53AB7">
        <w:rPr>
          <w:rFonts w:ascii="Arial" w:eastAsia="Arial" w:hAnsi="Arial" w:cs="Arial"/>
        </w:rPr>
        <w:tab/>
      </w:r>
      <w:r w:rsidR="00F53AB7">
        <w:rPr>
          <w:rFonts w:ascii="Arial" w:eastAsia="Arial" w:hAnsi="Arial" w:cs="Arial"/>
        </w:rPr>
        <w:tab/>
        <w:t>14/01/2024</w:t>
      </w:r>
    </w:p>
    <w:p w14:paraId="74508A99" w14:textId="6BA5E944" w:rsidR="00D37FDE" w:rsidRDefault="00D37FDE" w:rsidP="00D37FDE">
      <w:pPr>
        <w:rPr>
          <w:rFonts w:ascii="Arial" w:eastAsia="Arial" w:hAnsi="Arial" w:cs="Arial"/>
        </w:rPr>
      </w:pPr>
      <w:proofErr w:type="spellStart"/>
      <w:r>
        <w:rPr>
          <w:rFonts w:ascii="Arial" w:eastAsia="Arial" w:hAnsi="Arial" w:cs="Arial"/>
        </w:rPr>
        <w:t>Konu</w:t>
      </w:r>
      <w:proofErr w:type="spellEnd"/>
      <w:r>
        <w:rPr>
          <w:rFonts w:ascii="Arial" w:eastAsia="Arial" w:hAnsi="Arial" w:cs="Arial"/>
        </w:rPr>
        <w:tab/>
        <w:t>:</w:t>
      </w:r>
      <w:r w:rsidR="009C7225">
        <w:rPr>
          <w:rFonts w:ascii="Arial" w:eastAsia="Arial" w:hAnsi="Arial" w:cs="Arial"/>
        </w:rPr>
        <w:t xml:space="preserve"> </w:t>
      </w:r>
      <w:proofErr w:type="spellStart"/>
      <w:r w:rsidR="009C7225" w:rsidRPr="009C7225">
        <w:rPr>
          <w:rFonts w:ascii="Arial" w:eastAsia="Arial" w:hAnsi="Arial" w:cs="Arial"/>
        </w:rPr>
        <w:t>Tüzük’</w:t>
      </w:r>
      <w:r w:rsidR="009C7225">
        <w:rPr>
          <w:rFonts w:ascii="Arial" w:eastAsia="Arial" w:hAnsi="Arial" w:cs="Arial"/>
        </w:rPr>
        <w:t>de</w:t>
      </w:r>
      <w:proofErr w:type="spellEnd"/>
      <w:r w:rsidR="009C7225">
        <w:rPr>
          <w:rFonts w:ascii="Arial" w:eastAsia="Arial" w:hAnsi="Arial" w:cs="Arial"/>
        </w:rPr>
        <w:t xml:space="preserve"> </w:t>
      </w:r>
      <w:proofErr w:type="spellStart"/>
      <w:r w:rsidR="009C7225">
        <w:rPr>
          <w:rFonts w:ascii="Arial" w:eastAsia="Arial" w:hAnsi="Arial" w:cs="Arial"/>
        </w:rPr>
        <w:t>yer</w:t>
      </w:r>
      <w:proofErr w:type="spellEnd"/>
      <w:r w:rsidR="009C7225">
        <w:rPr>
          <w:rFonts w:ascii="Arial" w:eastAsia="Arial" w:hAnsi="Arial" w:cs="Arial"/>
        </w:rPr>
        <w:t xml:space="preserve"> </w:t>
      </w:r>
      <w:proofErr w:type="spellStart"/>
      <w:r w:rsidR="009C7225">
        <w:rPr>
          <w:rFonts w:ascii="Arial" w:eastAsia="Arial" w:hAnsi="Arial" w:cs="Arial"/>
        </w:rPr>
        <w:t>alan</w:t>
      </w:r>
      <w:proofErr w:type="spellEnd"/>
      <w:r w:rsidR="009C7225">
        <w:rPr>
          <w:rFonts w:ascii="Arial" w:eastAsia="Arial" w:hAnsi="Arial" w:cs="Arial"/>
        </w:rPr>
        <w:t xml:space="preserve"> </w:t>
      </w:r>
      <w:proofErr w:type="spellStart"/>
      <w:r w:rsidR="009C7225">
        <w:rPr>
          <w:rFonts w:ascii="Arial" w:eastAsia="Arial" w:hAnsi="Arial" w:cs="Arial"/>
        </w:rPr>
        <w:t>ayrımcı</w:t>
      </w:r>
      <w:proofErr w:type="spellEnd"/>
      <w:r w:rsidR="009C7225">
        <w:rPr>
          <w:rFonts w:ascii="Arial" w:eastAsia="Arial" w:hAnsi="Arial" w:cs="Arial"/>
        </w:rPr>
        <w:t xml:space="preserve"> </w:t>
      </w:r>
      <w:proofErr w:type="spellStart"/>
      <w:r w:rsidR="009C7225">
        <w:rPr>
          <w:rFonts w:ascii="Arial" w:eastAsia="Arial" w:hAnsi="Arial" w:cs="Arial"/>
        </w:rPr>
        <w:t>hükümler</w:t>
      </w:r>
      <w:proofErr w:type="spellEnd"/>
      <w:r w:rsidR="009C7225">
        <w:rPr>
          <w:rFonts w:ascii="Arial" w:eastAsia="Arial" w:hAnsi="Arial" w:cs="Arial"/>
        </w:rPr>
        <w:t xml:space="preserve"> </w:t>
      </w:r>
      <w:proofErr w:type="spellStart"/>
      <w:r w:rsidR="009C7225">
        <w:rPr>
          <w:rFonts w:ascii="Arial" w:eastAsia="Arial" w:hAnsi="Arial" w:cs="Arial"/>
        </w:rPr>
        <w:t>hk</w:t>
      </w:r>
      <w:proofErr w:type="spellEnd"/>
      <w:r w:rsidR="009C7225">
        <w:rPr>
          <w:rFonts w:ascii="Arial" w:eastAsia="Arial" w:hAnsi="Arial" w:cs="Arial"/>
        </w:rPr>
        <w:t xml:space="preserve">. </w:t>
      </w:r>
    </w:p>
    <w:p w14:paraId="0A1A3411" w14:textId="77777777" w:rsidR="00F758D4" w:rsidRDefault="00F758D4" w:rsidP="00F558EC">
      <w:pPr>
        <w:jc w:val="center"/>
        <w:rPr>
          <w:rFonts w:ascii="Arial" w:eastAsia="Arial" w:hAnsi="Arial" w:cs="Arial"/>
        </w:rPr>
      </w:pPr>
    </w:p>
    <w:p w14:paraId="6A26173E" w14:textId="5BD67070" w:rsidR="00D37FDE" w:rsidRPr="00F758D4" w:rsidRDefault="00D37FDE" w:rsidP="009C7225">
      <w:pPr>
        <w:rPr>
          <w:rFonts w:ascii="Arial" w:eastAsia="Arial" w:hAnsi="Arial" w:cs="Arial"/>
          <w:b/>
        </w:rPr>
      </w:pPr>
      <w:r w:rsidRPr="00F758D4">
        <w:rPr>
          <w:rFonts w:ascii="Arial" w:eastAsia="Arial" w:hAnsi="Arial" w:cs="Arial"/>
          <w:b/>
        </w:rPr>
        <w:t>KAMU DENETÇİLİĞİ KURUMU</w:t>
      </w:r>
      <w:r w:rsidR="009C7225">
        <w:rPr>
          <w:rFonts w:ascii="Arial" w:eastAsia="Arial" w:hAnsi="Arial" w:cs="Arial"/>
          <w:b/>
        </w:rPr>
        <w:t xml:space="preserve"> BAŞ</w:t>
      </w:r>
      <w:r w:rsidR="00811ED0">
        <w:rPr>
          <w:rFonts w:ascii="Arial" w:eastAsia="Arial" w:hAnsi="Arial" w:cs="Arial"/>
          <w:b/>
        </w:rPr>
        <w:t>DENETÇİLİĞİ’NE</w:t>
      </w:r>
    </w:p>
    <w:p w14:paraId="52569252" w14:textId="77777777" w:rsidR="00D37FDE" w:rsidRDefault="00D37FDE" w:rsidP="002A79A2">
      <w:pPr>
        <w:rPr>
          <w:rFonts w:ascii="Arial" w:eastAsia="Arial" w:hAnsi="Arial" w:cs="Arial"/>
          <w:lang w:val="tr-TR"/>
        </w:rPr>
      </w:pPr>
    </w:p>
    <w:p w14:paraId="689CAF9F" w14:textId="4AE17824" w:rsidR="004A229A" w:rsidRDefault="004A229A" w:rsidP="00EB5054">
      <w:pPr>
        <w:jc w:val="both"/>
        <w:rPr>
          <w:rFonts w:ascii="Arial" w:eastAsia="Arial" w:hAnsi="Arial" w:cs="Arial"/>
          <w:b/>
          <w:bCs/>
          <w:lang w:val="tr-TR"/>
        </w:rPr>
      </w:pPr>
      <w:r>
        <w:rPr>
          <w:rFonts w:ascii="Arial" w:eastAsia="Arial" w:hAnsi="Arial" w:cs="Arial"/>
          <w:b/>
          <w:bCs/>
          <w:lang w:val="tr-TR"/>
        </w:rPr>
        <w:t>Başvuru Hakkında</w:t>
      </w:r>
    </w:p>
    <w:p w14:paraId="764512DA" w14:textId="47269248" w:rsidR="002A79A2" w:rsidRDefault="002A79A2" w:rsidP="00EB5054">
      <w:pPr>
        <w:jc w:val="both"/>
        <w:rPr>
          <w:rFonts w:ascii="Arial" w:eastAsia="Arial" w:hAnsi="Arial" w:cs="Arial"/>
          <w:lang w:val="tr-TR"/>
        </w:rPr>
      </w:pPr>
      <w:r>
        <w:rPr>
          <w:rFonts w:ascii="Arial" w:eastAsia="Arial" w:hAnsi="Arial" w:cs="Arial"/>
          <w:lang w:val="tr-TR"/>
        </w:rPr>
        <w:t xml:space="preserve">Eşit Haklar İçin İzleme Derneği’nin amacı herkesin insan hakları ve özgürlerine eşit erişiminin sağlanmasıdır. Bu amaca uygun olarak kurulduğu 2010 yılından bu yana dezavantajlı gruplara yönelik ayrımcılığın önlenmesi için çalışmalar yapmaktadır. Engelli kişilere yönelik ayrımcılık konusunda da çok sayıda faaliyet yürütmüştür. Engellilerin haklara erişimlerinin izlenmesi ve raporlanması, adalete erişimlerin güçlendirilmesi, </w:t>
      </w:r>
      <w:r w:rsidR="00EB5054">
        <w:rPr>
          <w:rFonts w:ascii="Arial" w:eastAsia="Arial" w:hAnsi="Arial" w:cs="Arial"/>
          <w:lang w:val="tr-TR"/>
        </w:rPr>
        <w:t>engelli kadın ve kız çocuklarına yönelik şiddet ve cinsel istismarın önlenmesi</w:t>
      </w:r>
      <w:r>
        <w:rPr>
          <w:rFonts w:ascii="Arial" w:eastAsia="Arial" w:hAnsi="Arial" w:cs="Arial"/>
          <w:lang w:val="tr-TR"/>
        </w:rPr>
        <w:t xml:space="preserve"> </w:t>
      </w:r>
      <w:r w:rsidR="00205949">
        <w:rPr>
          <w:rFonts w:ascii="Arial" w:eastAsia="Arial" w:hAnsi="Arial" w:cs="Arial"/>
          <w:lang w:val="tr-TR"/>
        </w:rPr>
        <w:t xml:space="preserve">Derneğimizin </w:t>
      </w:r>
      <w:r w:rsidR="00EB5054">
        <w:rPr>
          <w:rFonts w:ascii="Arial" w:eastAsia="Arial" w:hAnsi="Arial" w:cs="Arial"/>
          <w:lang w:val="tr-TR"/>
        </w:rPr>
        <w:t xml:space="preserve">engellilik alanındaki ana çalışma konularıdır. Çalışmalarımızın </w:t>
      </w:r>
      <w:r w:rsidR="009C7225">
        <w:rPr>
          <w:rFonts w:ascii="Arial" w:eastAsia="Arial" w:hAnsi="Arial" w:cs="Arial"/>
          <w:lang w:val="tr-TR"/>
        </w:rPr>
        <w:t xml:space="preserve">örneklerine </w:t>
      </w:r>
      <w:r w:rsidR="00EB5054">
        <w:rPr>
          <w:rFonts w:ascii="Arial" w:eastAsia="Arial" w:hAnsi="Arial" w:cs="Arial"/>
          <w:lang w:val="tr-TR"/>
        </w:rPr>
        <w:t>aşağıdaki linklerden ulaşmak mümkündür.</w:t>
      </w:r>
    </w:p>
    <w:p w14:paraId="7CDAE6B1" w14:textId="3A0A9243" w:rsidR="00EB5054" w:rsidRPr="00D37FDE" w:rsidRDefault="00EB5054" w:rsidP="00EB5054">
      <w:pPr>
        <w:rPr>
          <w:rFonts w:ascii="Arial" w:eastAsia="Arial" w:hAnsi="Arial" w:cs="Arial"/>
          <w:lang w:val="tr-TR"/>
        </w:rPr>
      </w:pPr>
      <w:r>
        <w:rPr>
          <w:rFonts w:ascii="Arial" w:eastAsia="Arial" w:hAnsi="Arial" w:cs="Arial"/>
          <w:lang w:val="tr-TR"/>
        </w:rPr>
        <w:t xml:space="preserve">İzleme raporu </w:t>
      </w:r>
      <w:hyperlink r:id="rId9" w:history="1">
        <w:r w:rsidRPr="004D1C75">
          <w:rPr>
            <w:rStyle w:val="Kpr"/>
            <w:rFonts w:ascii="Arial" w:eastAsia="Arial" w:hAnsi="Arial" w:cs="Arial"/>
            <w:lang w:val="tr-TR"/>
          </w:rPr>
          <w:t>https://www.esithaklar.org/wp-content/uploads/2012/06/ESHID-EngelliRaporu2011.pdf</w:t>
        </w:r>
      </w:hyperlink>
      <w:r>
        <w:rPr>
          <w:rFonts w:ascii="Arial" w:eastAsia="Arial" w:hAnsi="Arial" w:cs="Arial"/>
          <w:lang w:val="tr-TR"/>
        </w:rPr>
        <w:t xml:space="preserve"> </w:t>
      </w:r>
    </w:p>
    <w:p w14:paraId="6FBA279A" w14:textId="1150022D" w:rsidR="002A79A2" w:rsidRDefault="00EB5054" w:rsidP="00EB5054">
      <w:pPr>
        <w:rPr>
          <w:rFonts w:ascii="Arial" w:eastAsia="Arial" w:hAnsi="Arial" w:cs="Arial"/>
          <w:lang w:val="tr-TR"/>
        </w:rPr>
      </w:pPr>
      <w:r>
        <w:rPr>
          <w:rFonts w:ascii="Arial" w:eastAsia="Arial" w:hAnsi="Arial" w:cs="Arial"/>
          <w:lang w:val="tr-TR"/>
        </w:rPr>
        <w:t xml:space="preserve">Saha Araştırması </w:t>
      </w:r>
      <w:hyperlink r:id="rId10" w:history="1">
        <w:r w:rsidRPr="004D1C75">
          <w:rPr>
            <w:rStyle w:val="Kpr"/>
            <w:rFonts w:ascii="Arial" w:eastAsia="Arial" w:hAnsi="Arial" w:cs="Arial"/>
            <w:lang w:val="tr-TR"/>
          </w:rPr>
          <w:t>https://www.esithaklar.org/wp-content/uploads/2019/07/engellilerin_adalete_erisimi_saha_arastirmasi.pdf</w:t>
        </w:r>
      </w:hyperlink>
      <w:r>
        <w:rPr>
          <w:rFonts w:ascii="Arial" w:eastAsia="Arial" w:hAnsi="Arial" w:cs="Arial"/>
          <w:lang w:val="tr-TR"/>
        </w:rPr>
        <w:t xml:space="preserve"> </w:t>
      </w:r>
    </w:p>
    <w:p w14:paraId="01781862" w14:textId="7D7F164B" w:rsidR="00EB5054" w:rsidRDefault="00EB5054" w:rsidP="00EB5054">
      <w:pPr>
        <w:rPr>
          <w:rFonts w:ascii="Arial" w:eastAsia="Arial" w:hAnsi="Arial" w:cs="Arial"/>
          <w:lang w:val="tr-TR"/>
        </w:rPr>
      </w:pPr>
      <w:r>
        <w:rPr>
          <w:rFonts w:ascii="Arial" w:eastAsia="Arial" w:hAnsi="Arial" w:cs="Arial"/>
          <w:lang w:val="tr-TR"/>
        </w:rPr>
        <w:t xml:space="preserve">Uluslararası Konferans </w:t>
      </w:r>
      <w:hyperlink r:id="rId11" w:history="1">
        <w:r w:rsidRPr="004D1C75">
          <w:rPr>
            <w:rStyle w:val="Kpr"/>
            <w:rFonts w:ascii="Arial" w:eastAsia="Arial" w:hAnsi="Arial" w:cs="Arial"/>
            <w:lang w:val="tr-TR"/>
          </w:rPr>
          <w:t>https://www.esithaklar.org/wp-content/uploads/2019/10/engellilerin_adalete_erisimi_konferans_raporu.pdf</w:t>
        </w:r>
      </w:hyperlink>
      <w:r>
        <w:rPr>
          <w:rFonts w:ascii="Arial" w:eastAsia="Arial" w:hAnsi="Arial" w:cs="Arial"/>
          <w:lang w:val="tr-TR"/>
        </w:rPr>
        <w:t xml:space="preserve"> </w:t>
      </w:r>
    </w:p>
    <w:p w14:paraId="13306585" w14:textId="0B6F5144" w:rsidR="002A79A2" w:rsidRDefault="00EB5054" w:rsidP="00EB5054">
      <w:pPr>
        <w:jc w:val="both"/>
        <w:rPr>
          <w:rFonts w:ascii="Arial" w:eastAsia="Arial" w:hAnsi="Arial" w:cs="Arial"/>
          <w:lang w:val="tr-TR"/>
        </w:rPr>
      </w:pPr>
      <w:r w:rsidRPr="00D37FDE">
        <w:rPr>
          <w:rFonts w:ascii="Arial" w:eastAsia="Arial" w:hAnsi="Arial" w:cs="Arial"/>
          <w:lang w:val="tr-TR"/>
        </w:rPr>
        <w:t>Küçüklerin</w:t>
      </w:r>
      <w:r>
        <w:rPr>
          <w:rFonts w:ascii="Arial" w:eastAsia="Arial" w:hAnsi="Arial" w:cs="Arial"/>
          <w:lang w:val="tr-TR"/>
        </w:rPr>
        <w:t xml:space="preserve"> </w:t>
      </w:r>
      <w:r w:rsidRPr="00D37FDE">
        <w:rPr>
          <w:rFonts w:ascii="Arial" w:eastAsia="Arial" w:hAnsi="Arial" w:cs="Arial"/>
          <w:lang w:val="tr-TR"/>
        </w:rPr>
        <w:t xml:space="preserve">Evlat Edinilmesinde Aracılık Faaliyetlerinin Yürütülmesine İlişkin </w:t>
      </w:r>
      <w:proofErr w:type="spellStart"/>
      <w:r w:rsidRPr="00D37FDE">
        <w:rPr>
          <w:rFonts w:ascii="Arial" w:eastAsia="Arial" w:hAnsi="Arial" w:cs="Arial"/>
          <w:lang w:val="tr-TR"/>
        </w:rPr>
        <w:t>Tüzü</w:t>
      </w:r>
      <w:r>
        <w:rPr>
          <w:rFonts w:ascii="Arial" w:eastAsia="Arial" w:hAnsi="Arial" w:cs="Arial"/>
          <w:lang w:val="tr-TR"/>
        </w:rPr>
        <w:t>k’de</w:t>
      </w:r>
      <w:proofErr w:type="spellEnd"/>
      <w:r>
        <w:rPr>
          <w:rFonts w:ascii="Arial" w:eastAsia="Arial" w:hAnsi="Arial" w:cs="Arial"/>
          <w:lang w:val="tr-TR"/>
        </w:rPr>
        <w:t xml:space="preserve"> yer alan bazı maddelerin ayrımcılık </w:t>
      </w:r>
      <w:r w:rsidR="00F24481">
        <w:rPr>
          <w:rFonts w:ascii="Arial" w:eastAsia="Arial" w:hAnsi="Arial" w:cs="Arial"/>
          <w:lang w:val="tr-TR"/>
        </w:rPr>
        <w:t>yasağı ilkesine aykırı olduğu</w:t>
      </w:r>
      <w:r>
        <w:rPr>
          <w:rFonts w:ascii="Arial" w:eastAsia="Arial" w:hAnsi="Arial" w:cs="Arial"/>
          <w:lang w:val="tr-TR"/>
        </w:rPr>
        <w:t xml:space="preserve"> </w:t>
      </w:r>
      <w:r w:rsidR="008133E2">
        <w:rPr>
          <w:rFonts w:ascii="Arial" w:eastAsia="Arial" w:hAnsi="Arial" w:cs="Arial"/>
          <w:lang w:val="tr-TR"/>
        </w:rPr>
        <w:t>iddiası</w:t>
      </w:r>
      <w:r w:rsidR="00F24481">
        <w:rPr>
          <w:rFonts w:ascii="Arial" w:eastAsia="Arial" w:hAnsi="Arial" w:cs="Arial"/>
          <w:lang w:val="tr-TR"/>
        </w:rPr>
        <w:t>,</w:t>
      </w:r>
      <w:r w:rsidR="008133E2">
        <w:rPr>
          <w:rFonts w:ascii="Arial" w:eastAsia="Arial" w:hAnsi="Arial" w:cs="Arial"/>
          <w:lang w:val="tr-TR"/>
        </w:rPr>
        <w:t xml:space="preserve"> </w:t>
      </w:r>
      <w:r>
        <w:rPr>
          <w:rFonts w:ascii="Arial" w:eastAsia="Arial" w:hAnsi="Arial" w:cs="Arial"/>
          <w:lang w:val="tr-TR"/>
        </w:rPr>
        <w:t>derneğimizin yaptığı toplantılarda</w:t>
      </w:r>
      <w:r w:rsidR="008133E2">
        <w:rPr>
          <w:rFonts w:ascii="Arial" w:eastAsia="Arial" w:hAnsi="Arial" w:cs="Arial"/>
          <w:lang w:val="tr-TR"/>
        </w:rPr>
        <w:t xml:space="preserve"> </w:t>
      </w:r>
      <w:r w:rsidR="009C7225">
        <w:rPr>
          <w:rFonts w:ascii="Arial" w:eastAsia="Arial" w:hAnsi="Arial" w:cs="Arial"/>
          <w:lang w:val="tr-TR"/>
        </w:rPr>
        <w:t xml:space="preserve">bazı </w:t>
      </w:r>
      <w:r>
        <w:rPr>
          <w:rFonts w:ascii="Arial" w:eastAsia="Arial" w:hAnsi="Arial" w:cs="Arial"/>
          <w:lang w:val="tr-TR"/>
        </w:rPr>
        <w:t xml:space="preserve">katılımcılar tarafından dile getirilmiştir. </w:t>
      </w:r>
    </w:p>
    <w:p w14:paraId="0137BF66" w14:textId="6C2CBE30" w:rsidR="008133E2" w:rsidRDefault="008133E2" w:rsidP="00EB5054">
      <w:pPr>
        <w:jc w:val="both"/>
        <w:rPr>
          <w:rFonts w:ascii="Arial" w:eastAsia="Arial" w:hAnsi="Arial" w:cs="Arial"/>
          <w:lang w:val="tr-TR"/>
        </w:rPr>
      </w:pPr>
      <w:r>
        <w:rPr>
          <w:rFonts w:ascii="Arial" w:eastAsia="Arial" w:hAnsi="Arial" w:cs="Arial"/>
          <w:lang w:val="tr-TR"/>
        </w:rPr>
        <w:t>Bu iddialara yönelik olarak derneğimizce yapılan araştırma ve değerlendirmelerde bahsi geçen tüzüğün 6. maddesinin özellikle fiziksel engelliler bakımından açık ayrımcılık içerdiği sonucuna varılmıştır</w:t>
      </w:r>
      <w:r w:rsidR="004A229A">
        <w:rPr>
          <w:rFonts w:ascii="Arial" w:eastAsia="Arial" w:hAnsi="Arial" w:cs="Arial"/>
          <w:lang w:val="tr-TR"/>
        </w:rPr>
        <w:t xml:space="preserve">. Başvurumuz </w:t>
      </w:r>
      <w:r w:rsidR="00F24481">
        <w:rPr>
          <w:rFonts w:ascii="Arial" w:eastAsia="Arial" w:hAnsi="Arial" w:cs="Arial"/>
          <w:lang w:val="tr-TR"/>
        </w:rPr>
        <w:t>ilgili tüzükte yer alan ayrımcı düzenlemenin ve buna dayalı ayrımcı uygulamaların ortadan kaldırılmasına ilişkindir.</w:t>
      </w:r>
    </w:p>
    <w:p w14:paraId="1AD004D5" w14:textId="610377A1" w:rsidR="004A229A" w:rsidRDefault="004A229A" w:rsidP="009C7225">
      <w:pPr>
        <w:jc w:val="both"/>
        <w:rPr>
          <w:rFonts w:ascii="Arial" w:eastAsia="Arial" w:hAnsi="Arial" w:cs="Arial"/>
          <w:b/>
          <w:bCs/>
          <w:lang w:val="tr-TR"/>
        </w:rPr>
      </w:pPr>
      <w:r>
        <w:rPr>
          <w:rFonts w:ascii="Arial" w:eastAsia="Arial" w:hAnsi="Arial" w:cs="Arial"/>
          <w:b/>
          <w:bCs/>
          <w:lang w:val="tr-TR"/>
        </w:rPr>
        <w:t>Açıklamalar</w:t>
      </w:r>
    </w:p>
    <w:p w14:paraId="2A606872" w14:textId="66637BBE" w:rsidR="008133E2" w:rsidRDefault="00A526CA" w:rsidP="009C7225">
      <w:pPr>
        <w:jc w:val="both"/>
        <w:rPr>
          <w:rFonts w:ascii="Arial" w:eastAsia="Arial" w:hAnsi="Arial" w:cs="Arial"/>
          <w:lang w:val="tr-TR"/>
        </w:rPr>
      </w:pPr>
      <w:r>
        <w:rPr>
          <w:rFonts w:ascii="Arial" w:eastAsia="Arial" w:hAnsi="Arial" w:cs="Arial"/>
          <w:lang w:val="tr-TR"/>
        </w:rPr>
        <w:t xml:space="preserve">Evlat edinme hakkına ilişkin </w:t>
      </w:r>
      <w:r w:rsidR="009C7225">
        <w:rPr>
          <w:rFonts w:ascii="Arial" w:eastAsia="Arial" w:hAnsi="Arial" w:cs="Arial"/>
          <w:lang w:val="tr-TR"/>
        </w:rPr>
        <w:t xml:space="preserve">olarak Türkiye’nin de taraf olduğu Birleşmiş Milletler </w:t>
      </w:r>
      <w:r w:rsidR="00645AAF">
        <w:rPr>
          <w:rFonts w:ascii="Arial" w:eastAsia="Arial" w:hAnsi="Arial" w:cs="Arial"/>
          <w:lang w:val="tr-TR"/>
        </w:rPr>
        <w:t xml:space="preserve">(BM) </w:t>
      </w:r>
      <w:r w:rsidR="009C7225">
        <w:rPr>
          <w:rFonts w:ascii="Arial" w:eastAsia="Arial" w:hAnsi="Arial" w:cs="Arial"/>
          <w:lang w:val="tr-TR"/>
        </w:rPr>
        <w:t>Çocuk Hakları Sözleşmesi</w:t>
      </w:r>
      <w:r w:rsidR="00B1604B">
        <w:rPr>
          <w:rFonts w:ascii="Arial" w:eastAsia="Arial" w:hAnsi="Arial" w:cs="Arial"/>
          <w:lang w:val="tr-TR"/>
        </w:rPr>
        <w:t>’</w:t>
      </w:r>
      <w:r w:rsidR="00F24481">
        <w:rPr>
          <w:rFonts w:ascii="Arial" w:eastAsia="Arial" w:hAnsi="Arial" w:cs="Arial"/>
          <w:lang w:val="tr-TR"/>
        </w:rPr>
        <w:t>n</w:t>
      </w:r>
      <w:r w:rsidR="00B1604B">
        <w:rPr>
          <w:rFonts w:ascii="Arial" w:eastAsia="Arial" w:hAnsi="Arial" w:cs="Arial"/>
          <w:lang w:val="tr-TR"/>
        </w:rPr>
        <w:t xml:space="preserve">de </w:t>
      </w:r>
      <w:r w:rsidR="00645AAF">
        <w:rPr>
          <w:rFonts w:ascii="Arial" w:eastAsia="Arial" w:hAnsi="Arial" w:cs="Arial"/>
          <w:lang w:val="tr-TR"/>
        </w:rPr>
        <w:t xml:space="preserve">(ÇHS) </w:t>
      </w:r>
      <w:r w:rsidR="00B1604B">
        <w:rPr>
          <w:rFonts w:ascii="Arial" w:eastAsia="Arial" w:hAnsi="Arial" w:cs="Arial"/>
          <w:lang w:val="tr-TR"/>
        </w:rPr>
        <w:t>düzenlenmektedir</w:t>
      </w:r>
      <w:r w:rsidR="008717D2">
        <w:rPr>
          <w:rFonts w:ascii="Arial" w:eastAsia="Arial" w:hAnsi="Arial" w:cs="Arial"/>
          <w:lang w:val="tr-TR"/>
        </w:rPr>
        <w:t xml:space="preserve">. </w:t>
      </w:r>
      <w:r w:rsidR="009C7225">
        <w:rPr>
          <w:rFonts w:ascii="Arial" w:eastAsia="Arial" w:hAnsi="Arial" w:cs="Arial"/>
          <w:lang w:val="tr-TR"/>
        </w:rPr>
        <w:t xml:space="preserve">Sözleşme evlat edinmeye ilişkin olarak “çocuğun üstün yararı” ilkesini temel kriter olarak kabul etmektedir. </w:t>
      </w:r>
    </w:p>
    <w:p w14:paraId="5B4186BC" w14:textId="0672D23F" w:rsidR="00645AAF" w:rsidRPr="008717D2" w:rsidRDefault="00645AAF" w:rsidP="00645AAF">
      <w:pPr>
        <w:jc w:val="both"/>
        <w:rPr>
          <w:rFonts w:ascii="Arial" w:eastAsia="Arial" w:hAnsi="Arial" w:cs="Arial"/>
          <w:lang w:val="tr-TR"/>
        </w:rPr>
      </w:pPr>
      <w:r>
        <w:rPr>
          <w:rFonts w:ascii="Arial" w:eastAsia="Arial" w:hAnsi="Arial" w:cs="Arial"/>
          <w:lang w:val="tr-TR"/>
        </w:rPr>
        <w:t xml:space="preserve">BM Çocuk Hakları Komitesi 14 </w:t>
      </w:r>
      <w:proofErr w:type="spellStart"/>
      <w:r>
        <w:rPr>
          <w:rFonts w:ascii="Arial" w:eastAsia="Arial" w:hAnsi="Arial" w:cs="Arial"/>
          <w:lang w:val="tr-TR"/>
        </w:rPr>
        <w:t>Nl</w:t>
      </w:r>
      <w:proofErr w:type="spellEnd"/>
      <w:r>
        <w:rPr>
          <w:rFonts w:ascii="Arial" w:eastAsia="Arial" w:hAnsi="Arial" w:cs="Arial"/>
          <w:lang w:val="tr-TR"/>
        </w:rPr>
        <w:t xml:space="preserve">. Genel </w:t>
      </w:r>
      <w:proofErr w:type="spellStart"/>
      <w:r>
        <w:rPr>
          <w:rFonts w:ascii="Arial" w:eastAsia="Arial" w:hAnsi="Arial" w:cs="Arial"/>
          <w:lang w:val="tr-TR"/>
        </w:rPr>
        <w:t>Yorum’da</w:t>
      </w:r>
      <w:proofErr w:type="spellEnd"/>
      <w:r>
        <w:rPr>
          <w:rFonts w:ascii="Arial" w:eastAsia="Arial" w:hAnsi="Arial" w:cs="Arial"/>
          <w:lang w:val="tr-TR"/>
        </w:rPr>
        <w:t xml:space="preserve"> </w:t>
      </w:r>
      <w:r w:rsidR="008717D2">
        <w:rPr>
          <w:rFonts w:ascii="Arial" w:eastAsia="Arial" w:hAnsi="Arial" w:cs="Arial"/>
          <w:lang w:val="tr-TR"/>
        </w:rPr>
        <w:t xml:space="preserve">bunu </w:t>
      </w:r>
      <w:r>
        <w:rPr>
          <w:rFonts w:ascii="Arial" w:eastAsia="Arial" w:hAnsi="Arial" w:cs="Arial"/>
          <w:lang w:val="tr-TR"/>
        </w:rPr>
        <w:t>“</w:t>
      </w:r>
      <w:r w:rsidRPr="008717D2">
        <w:rPr>
          <w:rFonts w:ascii="Arial" w:eastAsia="Arial" w:hAnsi="Arial" w:cs="Arial"/>
          <w:i/>
          <w:iCs/>
          <w:lang w:val="tr-TR"/>
        </w:rPr>
        <w:t>38. Evlat edinme işlemlerine ilişkin olarak (madde 21), yüksek yarar hakkı daha da güçlendirilmiştir; burada yüksek yarar artık “temel düşünce” olmanın da ötesinde “en başta” gözetilecektir. Gerçekten de çocuğun yüksek yararı evlatlık işlemleriyle ilgili karar alınırken</w:t>
      </w:r>
      <w:r w:rsidR="008717D2" w:rsidRPr="008717D2">
        <w:rPr>
          <w:rFonts w:ascii="Arial" w:eastAsia="Arial" w:hAnsi="Arial" w:cs="Arial"/>
          <w:i/>
          <w:iCs/>
          <w:lang w:val="tr-TR"/>
        </w:rPr>
        <w:t xml:space="preserve"> </w:t>
      </w:r>
      <w:r w:rsidRPr="008717D2">
        <w:rPr>
          <w:rFonts w:ascii="Arial" w:eastAsia="Arial" w:hAnsi="Arial" w:cs="Arial"/>
          <w:i/>
          <w:iCs/>
          <w:lang w:val="tr-TR"/>
        </w:rPr>
        <w:t>belirleyici faktör olmalıdır; diğer konularda da böyle olmak gerekir</w:t>
      </w:r>
      <w:r w:rsidR="008717D2" w:rsidRPr="008717D2">
        <w:rPr>
          <w:rFonts w:ascii="Arial" w:eastAsia="Arial" w:hAnsi="Arial" w:cs="Arial"/>
          <w:i/>
          <w:iCs/>
          <w:lang w:val="tr-TR"/>
        </w:rPr>
        <w:t>”</w:t>
      </w:r>
      <w:r w:rsidR="008717D2">
        <w:rPr>
          <w:rFonts w:ascii="Arial" w:eastAsia="Arial" w:hAnsi="Arial" w:cs="Arial"/>
          <w:i/>
          <w:iCs/>
          <w:lang w:val="tr-TR"/>
        </w:rPr>
        <w:t xml:space="preserve"> </w:t>
      </w:r>
      <w:r w:rsidR="008717D2">
        <w:rPr>
          <w:rFonts w:ascii="Arial" w:eastAsia="Arial" w:hAnsi="Arial" w:cs="Arial"/>
          <w:lang w:val="tr-TR"/>
        </w:rPr>
        <w:t>şeklinde açıklar.</w:t>
      </w:r>
    </w:p>
    <w:p w14:paraId="7C020859" w14:textId="77777777" w:rsidR="008717D2" w:rsidRDefault="008717D2" w:rsidP="009C7225">
      <w:pPr>
        <w:jc w:val="both"/>
        <w:rPr>
          <w:rFonts w:ascii="Arial" w:eastAsia="Arial" w:hAnsi="Arial" w:cs="Arial"/>
          <w:lang w:val="tr-TR"/>
        </w:rPr>
      </w:pPr>
    </w:p>
    <w:p w14:paraId="31DD00C2" w14:textId="77777777" w:rsidR="008717D2" w:rsidRDefault="008717D2" w:rsidP="009C7225">
      <w:pPr>
        <w:jc w:val="both"/>
        <w:rPr>
          <w:rFonts w:ascii="Arial" w:eastAsia="Arial" w:hAnsi="Arial" w:cs="Arial"/>
          <w:lang w:val="tr-TR"/>
        </w:rPr>
      </w:pPr>
    </w:p>
    <w:p w14:paraId="3CD6877E" w14:textId="75073DDB" w:rsidR="004A229A" w:rsidRDefault="004A229A" w:rsidP="009C7225">
      <w:pPr>
        <w:jc w:val="both"/>
        <w:rPr>
          <w:rFonts w:ascii="Arial" w:eastAsia="Arial" w:hAnsi="Arial" w:cs="Arial"/>
          <w:lang w:val="tr-TR"/>
        </w:rPr>
      </w:pPr>
      <w:r>
        <w:rPr>
          <w:rFonts w:ascii="Arial" w:eastAsia="Arial" w:hAnsi="Arial" w:cs="Arial"/>
          <w:lang w:val="tr-TR"/>
        </w:rPr>
        <w:lastRenderedPageBreak/>
        <w:t>Çocuk Hakları Sözleşmesi’nin ilgili hükümleri şöyledir;</w:t>
      </w:r>
    </w:p>
    <w:p w14:paraId="1DA6E58D" w14:textId="6821765F" w:rsidR="004A229A" w:rsidRPr="004A229A" w:rsidRDefault="004A229A" w:rsidP="004A229A">
      <w:pPr>
        <w:jc w:val="both"/>
        <w:rPr>
          <w:rFonts w:ascii="Arial" w:eastAsia="Arial" w:hAnsi="Arial" w:cs="Arial"/>
          <w:b/>
          <w:bCs/>
          <w:i/>
          <w:iCs/>
          <w:lang w:val="tr-TR"/>
        </w:rPr>
      </w:pPr>
      <w:r>
        <w:rPr>
          <w:rFonts w:ascii="Arial" w:eastAsia="Arial" w:hAnsi="Arial" w:cs="Arial"/>
          <w:lang w:val="tr-TR"/>
        </w:rPr>
        <w:t>“</w:t>
      </w:r>
      <w:r w:rsidRPr="004A229A">
        <w:rPr>
          <w:rFonts w:ascii="Arial" w:eastAsia="Arial" w:hAnsi="Arial" w:cs="Arial"/>
          <w:b/>
          <w:bCs/>
          <w:i/>
          <w:iCs/>
          <w:lang w:val="tr-TR"/>
        </w:rPr>
        <w:t>Madde 20</w:t>
      </w:r>
    </w:p>
    <w:p w14:paraId="4F18743A" w14:textId="50A74EC4" w:rsidR="004A229A" w:rsidRPr="004A229A" w:rsidRDefault="004A229A" w:rsidP="004A229A">
      <w:pPr>
        <w:jc w:val="both"/>
        <w:rPr>
          <w:rFonts w:ascii="Arial" w:eastAsia="Arial" w:hAnsi="Arial" w:cs="Arial"/>
          <w:i/>
          <w:iCs/>
          <w:lang w:val="tr-TR"/>
        </w:rPr>
      </w:pPr>
      <w:r w:rsidRPr="004A229A">
        <w:rPr>
          <w:rFonts w:ascii="Arial" w:eastAsia="Arial" w:hAnsi="Arial" w:cs="Arial"/>
          <w:i/>
          <w:iCs/>
          <w:lang w:val="tr-TR"/>
        </w:rPr>
        <w:t>1. Geçici ve sürekli olarak aile çevresinden yoksun kalan veya kendi üstün yararına uyarınca bu ortamda bırakılması kabul edilmeyen her çocuk, Devlet tarafından sağlanan özel koruma ve yardım görme hakkına sahip olacaktır.</w:t>
      </w:r>
    </w:p>
    <w:p w14:paraId="571F8048" w14:textId="4C33F559" w:rsidR="004A229A" w:rsidRPr="004A229A" w:rsidRDefault="004A229A" w:rsidP="004A229A">
      <w:pPr>
        <w:jc w:val="both"/>
        <w:rPr>
          <w:rFonts w:ascii="Arial" w:eastAsia="Arial" w:hAnsi="Arial" w:cs="Arial"/>
          <w:i/>
          <w:iCs/>
          <w:lang w:val="tr-TR"/>
        </w:rPr>
      </w:pPr>
      <w:r w:rsidRPr="004A229A">
        <w:rPr>
          <w:rFonts w:ascii="Arial" w:eastAsia="Arial" w:hAnsi="Arial" w:cs="Arial"/>
          <w:i/>
          <w:iCs/>
          <w:lang w:val="tr-TR"/>
        </w:rPr>
        <w:t>2 Taraf Devletler bu durumdaki bir çocuk için kendi ulusal yasalarına göre, uygun olan alternatif bakımı sağlayacaklardır.</w:t>
      </w:r>
    </w:p>
    <w:p w14:paraId="1F1BA00B" w14:textId="00FD145E" w:rsidR="004A229A" w:rsidRPr="004A229A" w:rsidRDefault="004A229A" w:rsidP="004A229A">
      <w:pPr>
        <w:jc w:val="both"/>
        <w:rPr>
          <w:rFonts w:ascii="Arial" w:eastAsia="Arial" w:hAnsi="Arial" w:cs="Arial"/>
          <w:i/>
          <w:iCs/>
          <w:lang w:val="tr-TR"/>
        </w:rPr>
      </w:pPr>
      <w:r w:rsidRPr="004A229A">
        <w:rPr>
          <w:rFonts w:ascii="Arial" w:eastAsia="Arial" w:hAnsi="Arial" w:cs="Arial"/>
          <w:i/>
          <w:iCs/>
          <w:lang w:val="tr-TR"/>
        </w:rPr>
        <w:t>3 Bu tür bakım, başkaca benzerleri yanında, bakıcı aile yanına verme, İslâm hukukunda kefaleti (</w:t>
      </w:r>
      <w:proofErr w:type="spellStart"/>
      <w:r w:rsidRPr="004A229A">
        <w:rPr>
          <w:rFonts w:ascii="Arial" w:eastAsia="Arial" w:hAnsi="Arial" w:cs="Arial"/>
          <w:i/>
          <w:iCs/>
          <w:lang w:val="tr-TR"/>
        </w:rPr>
        <w:t>kafalah</w:t>
      </w:r>
      <w:proofErr w:type="spellEnd"/>
      <w:r w:rsidRPr="004A229A">
        <w:rPr>
          <w:rFonts w:ascii="Arial" w:eastAsia="Arial" w:hAnsi="Arial" w:cs="Arial"/>
          <w:i/>
          <w:iCs/>
          <w:lang w:val="tr-TR"/>
        </w:rPr>
        <w:t>), evlât edinme ya da gerekiyorsa çocuk bakımı amacı güden uygun kuruluşlara yerleştirmeyi de içerir. Çözümler düşünülürken, çocuğun yetiştirilmesinde sürekliliğin korunmasına ve çocuğun etnik, dinsel, kültürel ve dil kimliğine gereken saygı gösterilecektir.</w:t>
      </w:r>
    </w:p>
    <w:p w14:paraId="01D799D8" w14:textId="77777777" w:rsidR="004A229A" w:rsidRPr="00B1604B" w:rsidRDefault="004A229A" w:rsidP="004A229A">
      <w:pPr>
        <w:jc w:val="both"/>
        <w:rPr>
          <w:rFonts w:ascii="Arial" w:eastAsia="Arial" w:hAnsi="Arial" w:cs="Arial"/>
          <w:b/>
          <w:bCs/>
          <w:i/>
          <w:iCs/>
          <w:lang w:val="tr-TR"/>
        </w:rPr>
      </w:pPr>
      <w:r w:rsidRPr="00B1604B">
        <w:rPr>
          <w:rFonts w:ascii="Arial" w:eastAsia="Arial" w:hAnsi="Arial" w:cs="Arial"/>
          <w:b/>
          <w:bCs/>
          <w:i/>
          <w:iCs/>
          <w:lang w:val="tr-TR"/>
        </w:rPr>
        <w:t>Madde 21</w:t>
      </w:r>
    </w:p>
    <w:p w14:paraId="11CB9191" w14:textId="43F94744" w:rsidR="004A229A" w:rsidRPr="00B1604B" w:rsidRDefault="004A229A" w:rsidP="004A229A">
      <w:pPr>
        <w:jc w:val="both"/>
        <w:rPr>
          <w:rFonts w:ascii="Arial" w:eastAsia="Arial" w:hAnsi="Arial" w:cs="Arial"/>
          <w:i/>
          <w:iCs/>
          <w:lang w:val="tr-TR"/>
        </w:rPr>
      </w:pPr>
      <w:r w:rsidRPr="00B1604B">
        <w:rPr>
          <w:rFonts w:ascii="Arial" w:eastAsia="Arial" w:hAnsi="Arial" w:cs="Arial"/>
          <w:i/>
          <w:iCs/>
          <w:lang w:val="tr-TR"/>
        </w:rPr>
        <w:t>Evlât edinme sistemini kabul eden ve/veya buna izin veren Taraf Devletler, çocuğun en yüksek yararlarının temel düşünce olduğunu kabul ederek aşağıdaki ilkeleri gerçekleştireceklerdir:</w:t>
      </w:r>
    </w:p>
    <w:p w14:paraId="294A8346" w14:textId="5629B5A1" w:rsidR="004A229A" w:rsidRPr="00B1604B" w:rsidRDefault="004A229A" w:rsidP="004A229A">
      <w:pPr>
        <w:jc w:val="both"/>
        <w:rPr>
          <w:rFonts w:ascii="Arial" w:eastAsia="Arial" w:hAnsi="Arial" w:cs="Arial"/>
          <w:i/>
          <w:iCs/>
          <w:lang w:val="tr-TR"/>
        </w:rPr>
      </w:pPr>
      <w:proofErr w:type="gramStart"/>
      <w:r w:rsidRPr="00B1604B">
        <w:rPr>
          <w:rFonts w:ascii="Arial" w:eastAsia="Arial" w:hAnsi="Arial" w:cs="Arial"/>
          <w:b/>
          <w:bCs/>
          <w:i/>
          <w:iCs/>
          <w:lang w:val="tr-TR"/>
        </w:rPr>
        <w:t>a</w:t>
      </w:r>
      <w:proofErr w:type="gramEnd"/>
      <w:r w:rsidRPr="00B1604B">
        <w:rPr>
          <w:rFonts w:ascii="Arial" w:eastAsia="Arial" w:hAnsi="Arial" w:cs="Arial"/>
          <w:i/>
          <w:iCs/>
          <w:lang w:val="tr-TR"/>
        </w:rPr>
        <w:t xml:space="preserve"> Bir çocuğun evlât edinilmesine ancak yetkili makam karar verir. Bu makam uygulanabilir yasa ve usullere göre ve güvenilir tüm bilgilerin ışığında; çocuğun, ana-babası, yakınları ve yasal vasisine göre durumunu göz önüne alarak ve gereken durumlarda tüm ilgililerle yapılacak görüşme sonucu onların da evlât edinme konusundaki onaylarını alma zorunluluğuna uyarak, kararını verir.</w:t>
      </w:r>
    </w:p>
    <w:p w14:paraId="2559DF97" w14:textId="2794179C" w:rsidR="004A229A" w:rsidRPr="00B1604B" w:rsidRDefault="004A229A" w:rsidP="004A229A">
      <w:pPr>
        <w:jc w:val="both"/>
        <w:rPr>
          <w:rFonts w:ascii="Arial" w:eastAsia="Arial" w:hAnsi="Arial" w:cs="Arial"/>
          <w:i/>
          <w:iCs/>
          <w:lang w:val="tr-TR"/>
        </w:rPr>
      </w:pPr>
      <w:proofErr w:type="gramStart"/>
      <w:r w:rsidRPr="00B1604B">
        <w:rPr>
          <w:rFonts w:ascii="Arial" w:eastAsia="Arial" w:hAnsi="Arial" w:cs="Arial"/>
          <w:b/>
          <w:bCs/>
          <w:i/>
          <w:iCs/>
          <w:lang w:val="tr-TR"/>
        </w:rPr>
        <w:t>b</w:t>
      </w:r>
      <w:proofErr w:type="gramEnd"/>
      <w:r w:rsidRPr="00B1604B">
        <w:rPr>
          <w:rFonts w:ascii="Arial" w:eastAsia="Arial" w:hAnsi="Arial" w:cs="Arial"/>
          <w:b/>
          <w:bCs/>
          <w:i/>
          <w:iCs/>
          <w:lang w:val="tr-TR"/>
        </w:rPr>
        <w:t xml:space="preserve"> </w:t>
      </w:r>
      <w:r w:rsidRPr="00B1604B">
        <w:rPr>
          <w:rFonts w:ascii="Arial" w:eastAsia="Arial" w:hAnsi="Arial" w:cs="Arial"/>
          <w:i/>
          <w:iCs/>
          <w:lang w:val="tr-TR"/>
        </w:rPr>
        <w:t>Çocuğun kendi ülkesinde elverişli biçimde bakılması mümkün olmadığı veya evlât edinecek veya yanına yerleştirilecek aile bulunmadığı takdirde, ülkelerarası evlât edinmenin çocuk bakımında alternatif bir çözüm yolu olarak değerlendirilmesini kabul ederler.</w:t>
      </w:r>
    </w:p>
    <w:p w14:paraId="17E07236" w14:textId="298AEE50" w:rsidR="004A229A" w:rsidRPr="00B1604B" w:rsidRDefault="004A229A" w:rsidP="004A229A">
      <w:pPr>
        <w:jc w:val="both"/>
        <w:rPr>
          <w:rFonts w:ascii="Arial" w:eastAsia="Arial" w:hAnsi="Arial" w:cs="Arial"/>
          <w:i/>
          <w:iCs/>
          <w:lang w:val="tr-TR"/>
        </w:rPr>
      </w:pPr>
      <w:proofErr w:type="gramStart"/>
      <w:r w:rsidRPr="00B1604B">
        <w:rPr>
          <w:rFonts w:ascii="Arial" w:eastAsia="Arial" w:hAnsi="Arial" w:cs="Arial"/>
          <w:b/>
          <w:bCs/>
          <w:i/>
          <w:iCs/>
          <w:lang w:val="tr-TR"/>
        </w:rPr>
        <w:t>c</w:t>
      </w:r>
      <w:proofErr w:type="gramEnd"/>
      <w:r w:rsidRPr="00B1604B">
        <w:rPr>
          <w:rFonts w:ascii="Arial" w:eastAsia="Arial" w:hAnsi="Arial" w:cs="Arial"/>
          <w:i/>
          <w:iCs/>
          <w:lang w:val="tr-TR"/>
        </w:rPr>
        <w:t xml:space="preserve"> Başka bir ülkede evlât edinilmesi düşünülen çocuğun, kendi ülkesinde mevcut evlât edinme durumuyla eşdeğer olan güvence ve standartlardan yararlanmasını sağlarlar.</w:t>
      </w:r>
    </w:p>
    <w:p w14:paraId="2E16B4A7" w14:textId="4132ECBD" w:rsidR="004A229A" w:rsidRPr="00B1604B" w:rsidRDefault="004A229A" w:rsidP="004A229A">
      <w:pPr>
        <w:jc w:val="both"/>
        <w:rPr>
          <w:rFonts w:ascii="Arial" w:eastAsia="Arial" w:hAnsi="Arial" w:cs="Arial"/>
          <w:i/>
          <w:iCs/>
          <w:lang w:val="tr-TR"/>
        </w:rPr>
      </w:pPr>
      <w:proofErr w:type="gramStart"/>
      <w:r w:rsidRPr="00B1604B">
        <w:rPr>
          <w:rFonts w:ascii="Arial" w:eastAsia="Arial" w:hAnsi="Arial" w:cs="Arial"/>
          <w:b/>
          <w:bCs/>
          <w:i/>
          <w:iCs/>
          <w:lang w:val="tr-TR"/>
        </w:rPr>
        <w:t>d</w:t>
      </w:r>
      <w:proofErr w:type="gramEnd"/>
      <w:r w:rsidRPr="00B1604B">
        <w:rPr>
          <w:rFonts w:ascii="Arial" w:eastAsia="Arial" w:hAnsi="Arial" w:cs="Arial"/>
          <w:i/>
          <w:iCs/>
          <w:lang w:val="tr-TR"/>
        </w:rPr>
        <w:t xml:space="preserve"> Ülkelerarası evlât edinmede, yerleştirmenin ilgililer bakımından yasadışı para kazanma konusu olmaması için gereken bütün önlemleri alırlar.</w:t>
      </w:r>
    </w:p>
    <w:p w14:paraId="4882C740" w14:textId="0525D85A" w:rsidR="00B1604B" w:rsidRPr="00B1604B" w:rsidRDefault="004A229A" w:rsidP="004A229A">
      <w:pPr>
        <w:jc w:val="both"/>
        <w:rPr>
          <w:rFonts w:ascii="Arial" w:eastAsia="Arial" w:hAnsi="Arial" w:cs="Arial"/>
          <w:lang w:val="tr-TR"/>
        </w:rPr>
      </w:pPr>
      <w:proofErr w:type="gramStart"/>
      <w:r w:rsidRPr="00B1604B">
        <w:rPr>
          <w:rFonts w:ascii="Arial" w:eastAsia="Arial" w:hAnsi="Arial" w:cs="Arial"/>
          <w:b/>
          <w:bCs/>
          <w:i/>
          <w:iCs/>
          <w:lang w:val="tr-TR"/>
        </w:rPr>
        <w:t>e</w:t>
      </w:r>
      <w:proofErr w:type="gramEnd"/>
      <w:r w:rsidRPr="00B1604B">
        <w:rPr>
          <w:rFonts w:ascii="Arial" w:eastAsia="Arial" w:hAnsi="Arial" w:cs="Arial"/>
          <w:b/>
          <w:bCs/>
          <w:i/>
          <w:iCs/>
          <w:lang w:val="tr-TR"/>
        </w:rPr>
        <w:t xml:space="preserve"> </w:t>
      </w:r>
      <w:r w:rsidRPr="00B1604B">
        <w:rPr>
          <w:rFonts w:ascii="Arial" w:eastAsia="Arial" w:hAnsi="Arial" w:cs="Arial"/>
          <w:i/>
          <w:iCs/>
          <w:lang w:val="tr-TR"/>
        </w:rPr>
        <w:t>Bu maddedeki amaçları, uygun olduğu ölçüde, ikili ya da çok taraflı düzenleme veya anlaşmalarla teşvik ederler ve bu</w:t>
      </w:r>
      <w:r w:rsidR="00B1604B" w:rsidRPr="00B1604B">
        <w:rPr>
          <w:rFonts w:ascii="Arial" w:eastAsia="Arial" w:hAnsi="Arial" w:cs="Arial"/>
          <w:i/>
          <w:iCs/>
          <w:lang w:val="tr-TR"/>
        </w:rPr>
        <w:t xml:space="preserve"> </w:t>
      </w:r>
      <w:r w:rsidRPr="00B1604B">
        <w:rPr>
          <w:rFonts w:ascii="Arial" w:eastAsia="Arial" w:hAnsi="Arial" w:cs="Arial"/>
          <w:i/>
          <w:iCs/>
          <w:lang w:val="tr-TR"/>
        </w:rPr>
        <w:t>çerçevede, çocuğun başka bir ülkede yerleştirilmesinin yetkili</w:t>
      </w:r>
      <w:r w:rsidR="00B1604B" w:rsidRPr="00B1604B">
        <w:rPr>
          <w:rFonts w:ascii="Arial" w:eastAsia="Arial" w:hAnsi="Arial" w:cs="Arial"/>
          <w:i/>
          <w:iCs/>
          <w:lang w:val="tr-TR"/>
        </w:rPr>
        <w:t xml:space="preserve"> </w:t>
      </w:r>
      <w:r w:rsidRPr="00B1604B">
        <w:rPr>
          <w:rFonts w:ascii="Arial" w:eastAsia="Arial" w:hAnsi="Arial" w:cs="Arial"/>
          <w:i/>
          <w:iCs/>
          <w:lang w:val="tr-TR"/>
        </w:rPr>
        <w:t>makam veya organlar tarafından yürütülmesini güvenceye</w:t>
      </w:r>
      <w:r w:rsidR="00B1604B" w:rsidRPr="00B1604B">
        <w:rPr>
          <w:rFonts w:ascii="Arial" w:eastAsia="Arial" w:hAnsi="Arial" w:cs="Arial"/>
          <w:i/>
          <w:iCs/>
          <w:lang w:val="tr-TR"/>
        </w:rPr>
        <w:t xml:space="preserve"> </w:t>
      </w:r>
      <w:r w:rsidRPr="00B1604B">
        <w:rPr>
          <w:rFonts w:ascii="Arial" w:eastAsia="Arial" w:hAnsi="Arial" w:cs="Arial"/>
          <w:i/>
          <w:iCs/>
          <w:lang w:val="tr-TR"/>
        </w:rPr>
        <w:t>almak için çaba gösterirler</w:t>
      </w:r>
      <w:r w:rsidRPr="00B1604B">
        <w:rPr>
          <w:rFonts w:ascii="Arial" w:eastAsia="Arial" w:hAnsi="Arial" w:cs="Arial"/>
          <w:lang w:val="tr-TR"/>
        </w:rPr>
        <w:t>.</w:t>
      </w:r>
      <w:r w:rsidR="00B1604B">
        <w:rPr>
          <w:rFonts w:ascii="Arial" w:eastAsia="Arial" w:hAnsi="Arial" w:cs="Arial"/>
          <w:lang w:val="tr-TR"/>
        </w:rPr>
        <w:t>”</w:t>
      </w:r>
      <w:r w:rsidRPr="00B1604B">
        <w:rPr>
          <w:rFonts w:ascii="Arial" w:eastAsia="Arial" w:hAnsi="Arial" w:cs="Arial"/>
          <w:lang w:val="tr-TR"/>
        </w:rPr>
        <w:t xml:space="preserve"> </w:t>
      </w:r>
      <w:r w:rsidR="00B1604B">
        <w:rPr>
          <w:rStyle w:val="DipnotBavurusu"/>
          <w:rFonts w:ascii="Arial" w:eastAsia="Arial" w:hAnsi="Arial" w:cs="Arial"/>
          <w:lang w:val="tr-TR"/>
        </w:rPr>
        <w:footnoteReference w:id="1"/>
      </w:r>
    </w:p>
    <w:p w14:paraId="2AF7E8DC" w14:textId="5692953C" w:rsidR="009C7225" w:rsidRDefault="008717D2" w:rsidP="002A79A2">
      <w:pPr>
        <w:jc w:val="both"/>
        <w:rPr>
          <w:rFonts w:ascii="Arial" w:eastAsia="Arial" w:hAnsi="Arial" w:cs="Arial"/>
          <w:lang w:val="tr-TR"/>
        </w:rPr>
      </w:pPr>
      <w:r>
        <w:rPr>
          <w:rFonts w:ascii="Arial" w:eastAsia="Arial" w:hAnsi="Arial" w:cs="Arial"/>
          <w:lang w:val="tr-TR"/>
        </w:rPr>
        <w:t xml:space="preserve">İnsan hakları sistemi içinde çok sayıda bildirge, protokol vb. belgede evlatlık çocukların korunması konusunda düzenlemeler </w:t>
      </w:r>
      <w:r w:rsidR="00F5683E">
        <w:rPr>
          <w:rFonts w:ascii="Arial" w:eastAsia="Arial" w:hAnsi="Arial" w:cs="Arial"/>
          <w:lang w:val="tr-TR"/>
        </w:rPr>
        <w:t xml:space="preserve">de </w:t>
      </w:r>
      <w:r>
        <w:rPr>
          <w:rFonts w:ascii="Arial" w:eastAsia="Arial" w:hAnsi="Arial" w:cs="Arial"/>
          <w:lang w:val="tr-TR"/>
        </w:rPr>
        <w:t xml:space="preserve">yer almaktadır. </w:t>
      </w:r>
      <w:r w:rsidR="00F5683E">
        <w:rPr>
          <w:rFonts w:ascii="Arial" w:eastAsia="Arial" w:hAnsi="Arial" w:cs="Arial"/>
          <w:lang w:val="tr-TR"/>
        </w:rPr>
        <w:t>Bu düzenlemelerin hiçbirinde engellilerin evlat edinmesine ilişkin herhangi bir</w:t>
      </w:r>
      <w:r w:rsidR="00F24481">
        <w:rPr>
          <w:rFonts w:ascii="Arial" w:eastAsia="Arial" w:hAnsi="Arial" w:cs="Arial"/>
          <w:lang w:val="tr-TR"/>
        </w:rPr>
        <w:t xml:space="preserve"> kısıt bulunmamaktadır. Aksine </w:t>
      </w:r>
      <w:r>
        <w:rPr>
          <w:rFonts w:ascii="Arial" w:eastAsia="Arial" w:hAnsi="Arial" w:cs="Arial"/>
          <w:lang w:val="tr-TR"/>
        </w:rPr>
        <w:t>uluslararası sözleşmelerde evlat edinme hakkının kullanılmasında ayrımcılığın önlenmesine ilişkin hükümler bulunmaktadır. Türkiye’nin taraf olduğu BM Engelli Hakları Sözleşmesi</w:t>
      </w:r>
      <w:r w:rsidR="00F24481">
        <w:rPr>
          <w:rFonts w:ascii="Arial" w:eastAsia="Arial" w:hAnsi="Arial" w:cs="Arial"/>
          <w:lang w:val="tr-TR"/>
        </w:rPr>
        <w:t>,</w:t>
      </w:r>
      <w:r>
        <w:rPr>
          <w:rFonts w:ascii="Arial" w:eastAsia="Arial" w:hAnsi="Arial" w:cs="Arial"/>
          <w:lang w:val="tr-TR"/>
        </w:rPr>
        <w:t xml:space="preserve"> evlat edinme </w:t>
      </w:r>
      <w:r>
        <w:rPr>
          <w:rFonts w:ascii="Arial" w:eastAsia="Arial" w:hAnsi="Arial" w:cs="Arial"/>
          <w:lang w:val="tr-TR"/>
        </w:rPr>
        <w:lastRenderedPageBreak/>
        <w:t>hakkı</w:t>
      </w:r>
      <w:r w:rsidR="00F24481">
        <w:rPr>
          <w:rFonts w:ascii="Arial" w:eastAsia="Arial" w:hAnsi="Arial" w:cs="Arial"/>
          <w:lang w:val="tr-TR"/>
        </w:rPr>
        <w:t xml:space="preserve"> konusu</w:t>
      </w:r>
      <w:r>
        <w:rPr>
          <w:rFonts w:ascii="Arial" w:eastAsia="Arial" w:hAnsi="Arial" w:cs="Arial"/>
          <w:lang w:val="tr-TR"/>
        </w:rPr>
        <w:t>nda engelli kişilere ayrımcılık yapılması</w:t>
      </w:r>
      <w:r w:rsidR="00F24481">
        <w:rPr>
          <w:rFonts w:ascii="Arial" w:eastAsia="Arial" w:hAnsi="Arial" w:cs="Arial"/>
          <w:lang w:val="tr-TR"/>
        </w:rPr>
        <w:t>nı</w:t>
      </w:r>
      <w:r w:rsidR="006E0D4B">
        <w:rPr>
          <w:rFonts w:ascii="Arial" w:eastAsia="Arial" w:hAnsi="Arial" w:cs="Arial"/>
          <w:lang w:val="tr-TR"/>
        </w:rPr>
        <w:t xml:space="preserve"> yasakla</w:t>
      </w:r>
      <w:r w:rsidR="002D508D">
        <w:rPr>
          <w:rFonts w:ascii="Arial" w:eastAsia="Arial" w:hAnsi="Arial" w:cs="Arial"/>
          <w:lang w:val="tr-TR"/>
        </w:rPr>
        <w:t>maktadır</w:t>
      </w:r>
      <w:r w:rsidR="006E0D4B">
        <w:rPr>
          <w:rFonts w:ascii="Arial" w:eastAsia="Arial" w:hAnsi="Arial" w:cs="Arial"/>
          <w:lang w:val="tr-TR"/>
        </w:rPr>
        <w:t>.</w:t>
      </w:r>
      <w:r>
        <w:rPr>
          <w:rFonts w:ascii="Arial" w:eastAsia="Arial" w:hAnsi="Arial" w:cs="Arial"/>
          <w:lang w:val="tr-TR"/>
        </w:rPr>
        <w:t xml:space="preserve"> </w:t>
      </w:r>
      <w:proofErr w:type="spellStart"/>
      <w:r w:rsidR="002D508D">
        <w:rPr>
          <w:rFonts w:ascii="Arial" w:eastAsia="Arial" w:hAnsi="Arial" w:cs="Arial"/>
          <w:lang w:val="tr-TR"/>
        </w:rPr>
        <w:t>Sözleşme’deki</w:t>
      </w:r>
      <w:proofErr w:type="spellEnd"/>
      <w:r w:rsidR="00F24481">
        <w:rPr>
          <w:rFonts w:ascii="Arial" w:eastAsia="Arial" w:hAnsi="Arial" w:cs="Arial"/>
          <w:lang w:val="tr-TR"/>
        </w:rPr>
        <w:t xml:space="preserve"> ilgili hüküm aşağıdaki gibidir:</w:t>
      </w:r>
    </w:p>
    <w:p w14:paraId="5C7AE9B6" w14:textId="77777777" w:rsidR="002D508D" w:rsidRPr="002D508D" w:rsidRDefault="002D508D" w:rsidP="002D508D">
      <w:pPr>
        <w:jc w:val="both"/>
        <w:rPr>
          <w:rFonts w:ascii="Arial" w:eastAsia="Arial" w:hAnsi="Arial" w:cs="Arial"/>
          <w:i/>
          <w:iCs/>
          <w:lang w:val="tr-TR"/>
        </w:rPr>
      </w:pPr>
      <w:r>
        <w:rPr>
          <w:rFonts w:ascii="Arial" w:eastAsia="Arial" w:hAnsi="Arial" w:cs="Arial"/>
          <w:lang w:val="tr-TR"/>
        </w:rPr>
        <w:t>“</w:t>
      </w:r>
      <w:r w:rsidRPr="002D508D">
        <w:rPr>
          <w:rFonts w:ascii="Arial" w:eastAsia="Arial" w:hAnsi="Arial" w:cs="Arial"/>
          <w:b/>
          <w:bCs/>
          <w:i/>
          <w:iCs/>
          <w:lang w:val="tr-TR"/>
        </w:rPr>
        <w:t>Madde 23</w:t>
      </w:r>
      <w:r w:rsidRPr="002D508D">
        <w:rPr>
          <w:rFonts w:ascii="Arial" w:eastAsia="Arial" w:hAnsi="Arial" w:cs="Arial"/>
          <w:i/>
          <w:iCs/>
          <w:lang w:val="tr-TR"/>
        </w:rPr>
        <w:t xml:space="preserve"> </w:t>
      </w:r>
    </w:p>
    <w:p w14:paraId="517F2B25" w14:textId="23D5CF35" w:rsidR="002D508D" w:rsidRPr="002D508D" w:rsidRDefault="002D508D" w:rsidP="002D508D">
      <w:pPr>
        <w:jc w:val="both"/>
        <w:rPr>
          <w:rFonts w:ascii="Arial" w:eastAsia="Arial" w:hAnsi="Arial" w:cs="Arial"/>
          <w:i/>
          <w:iCs/>
          <w:lang w:val="tr-TR"/>
        </w:rPr>
      </w:pPr>
      <w:r w:rsidRPr="002D508D">
        <w:rPr>
          <w:rFonts w:ascii="Arial" w:eastAsia="Arial" w:hAnsi="Arial" w:cs="Arial"/>
          <w:i/>
          <w:iCs/>
          <w:lang w:val="tr-TR"/>
        </w:rPr>
        <w:t>Ev ve aileye saygı</w:t>
      </w:r>
    </w:p>
    <w:p w14:paraId="34A9D74E" w14:textId="14BD3EDC" w:rsidR="002D508D" w:rsidRPr="002D508D" w:rsidRDefault="002D508D" w:rsidP="002D508D">
      <w:pPr>
        <w:jc w:val="both"/>
        <w:rPr>
          <w:rFonts w:ascii="Arial" w:eastAsia="Arial" w:hAnsi="Arial" w:cs="Arial"/>
          <w:i/>
          <w:iCs/>
          <w:lang w:val="tr-TR"/>
        </w:rPr>
      </w:pPr>
      <w:r w:rsidRPr="002D508D">
        <w:rPr>
          <w:rFonts w:ascii="Arial" w:eastAsia="Arial" w:hAnsi="Arial" w:cs="Arial"/>
          <w:i/>
          <w:iCs/>
          <w:lang w:val="tr-TR"/>
        </w:rPr>
        <w:t>……….</w:t>
      </w:r>
    </w:p>
    <w:p w14:paraId="20DA8A24" w14:textId="291059D0" w:rsidR="002D508D" w:rsidRDefault="002D508D" w:rsidP="002A79A2">
      <w:pPr>
        <w:jc w:val="both"/>
        <w:rPr>
          <w:rFonts w:ascii="Arial" w:eastAsia="Arial" w:hAnsi="Arial" w:cs="Arial"/>
          <w:i/>
          <w:iCs/>
          <w:lang w:val="tr-TR"/>
        </w:rPr>
      </w:pPr>
      <w:r w:rsidRPr="002D508D">
        <w:rPr>
          <w:rFonts w:ascii="Arial" w:eastAsia="Arial" w:hAnsi="Arial" w:cs="Arial"/>
          <w:i/>
          <w:iCs/>
          <w:lang w:val="tr-TR"/>
        </w:rPr>
        <w:t>2. Taraf Devletler, bu kavramların ulusal mevzuatta mevcut olması halinde vasilik, koruyuculuk, çocukları evlat edinme veya benzeri düzenlemeler konusunda engelli kişilerin haklara ve sorumlulu</w:t>
      </w:r>
      <w:r>
        <w:rPr>
          <w:rFonts w:ascii="Arial" w:eastAsia="Arial" w:hAnsi="Arial" w:cs="Arial"/>
          <w:i/>
          <w:iCs/>
          <w:lang w:val="tr-TR"/>
        </w:rPr>
        <w:t>k</w:t>
      </w:r>
      <w:r w:rsidRPr="002D508D">
        <w:rPr>
          <w:rFonts w:ascii="Arial" w:eastAsia="Arial" w:hAnsi="Arial" w:cs="Arial"/>
          <w:i/>
          <w:iCs/>
          <w:lang w:val="tr-TR"/>
        </w:rPr>
        <w:t>lara sahip olmalarını sağlayacaklardır ve her türlü durumda çocuğun çıkarları büyük önem taşıyacaktır. Taraf Devletler, engelli kiş</w:t>
      </w:r>
      <w:r>
        <w:rPr>
          <w:rFonts w:ascii="Arial" w:eastAsia="Arial" w:hAnsi="Arial" w:cs="Arial"/>
          <w:i/>
          <w:iCs/>
          <w:lang w:val="tr-TR"/>
        </w:rPr>
        <w:t>i</w:t>
      </w:r>
      <w:r w:rsidRPr="002D508D">
        <w:rPr>
          <w:rFonts w:ascii="Arial" w:eastAsia="Arial" w:hAnsi="Arial" w:cs="Arial"/>
          <w:i/>
          <w:iCs/>
          <w:lang w:val="tr-TR"/>
        </w:rPr>
        <w:t>lere çocuk yetiştirme ile ilgili sorumlulukları konusunda gerekli yardımı sağlayacaktır.”</w:t>
      </w:r>
    </w:p>
    <w:p w14:paraId="56FC2301" w14:textId="6B204DC2" w:rsidR="002C727C" w:rsidRPr="004956AD" w:rsidRDefault="004956AD" w:rsidP="002A79A2">
      <w:pPr>
        <w:jc w:val="both"/>
        <w:rPr>
          <w:rFonts w:ascii="Arial" w:eastAsia="Arial" w:hAnsi="Arial" w:cs="Arial"/>
          <w:lang w:val="tr-TR"/>
        </w:rPr>
      </w:pPr>
      <w:r>
        <w:rPr>
          <w:rFonts w:ascii="Arial" w:eastAsia="Arial" w:hAnsi="Arial" w:cs="Arial"/>
          <w:lang w:val="tr-TR"/>
        </w:rPr>
        <w:t xml:space="preserve">Anayasa’nın 90. Maddesi gereğince </w:t>
      </w:r>
      <w:r w:rsidR="00F24481">
        <w:rPr>
          <w:rFonts w:ascii="Arial" w:eastAsia="Arial" w:hAnsi="Arial" w:cs="Arial"/>
          <w:lang w:val="tr-TR"/>
        </w:rPr>
        <w:t>“</w:t>
      </w:r>
      <w:proofErr w:type="spellStart"/>
      <w:r w:rsidR="00F24481" w:rsidRPr="00F24481">
        <w:rPr>
          <w:rFonts w:ascii="Arial" w:eastAsia="Arial" w:hAnsi="Arial" w:cs="Arial"/>
          <w:i/>
        </w:rPr>
        <w:t>Usulüne</w:t>
      </w:r>
      <w:proofErr w:type="spellEnd"/>
      <w:r w:rsidR="00F24481" w:rsidRPr="00F24481">
        <w:rPr>
          <w:rFonts w:ascii="Arial" w:eastAsia="Arial" w:hAnsi="Arial" w:cs="Arial"/>
          <w:i/>
        </w:rPr>
        <w:t xml:space="preserve"> </w:t>
      </w:r>
      <w:proofErr w:type="spellStart"/>
      <w:r w:rsidR="00F24481" w:rsidRPr="00F24481">
        <w:rPr>
          <w:rFonts w:ascii="Arial" w:eastAsia="Arial" w:hAnsi="Arial" w:cs="Arial"/>
          <w:i/>
        </w:rPr>
        <w:t>göre</w:t>
      </w:r>
      <w:proofErr w:type="spellEnd"/>
      <w:r w:rsidR="00F24481" w:rsidRPr="00F24481">
        <w:rPr>
          <w:rFonts w:ascii="Arial" w:eastAsia="Arial" w:hAnsi="Arial" w:cs="Arial"/>
          <w:i/>
        </w:rPr>
        <w:t xml:space="preserve"> </w:t>
      </w:r>
      <w:proofErr w:type="spellStart"/>
      <w:r w:rsidR="00F24481" w:rsidRPr="00F24481">
        <w:rPr>
          <w:rFonts w:ascii="Arial" w:eastAsia="Arial" w:hAnsi="Arial" w:cs="Arial"/>
          <w:i/>
        </w:rPr>
        <w:t>yürürlüğe</w:t>
      </w:r>
      <w:proofErr w:type="spellEnd"/>
      <w:r w:rsidR="00F24481" w:rsidRPr="00F24481">
        <w:rPr>
          <w:rFonts w:ascii="Arial" w:eastAsia="Arial" w:hAnsi="Arial" w:cs="Arial"/>
          <w:i/>
        </w:rPr>
        <w:t xml:space="preserve"> </w:t>
      </w:r>
      <w:proofErr w:type="spellStart"/>
      <w:r w:rsidR="00F24481" w:rsidRPr="00F24481">
        <w:rPr>
          <w:rFonts w:ascii="Arial" w:eastAsia="Arial" w:hAnsi="Arial" w:cs="Arial"/>
          <w:i/>
        </w:rPr>
        <w:t>konulmuş</w:t>
      </w:r>
      <w:proofErr w:type="spellEnd"/>
      <w:r w:rsidR="00F24481" w:rsidRPr="00F24481">
        <w:rPr>
          <w:rFonts w:ascii="Arial" w:eastAsia="Arial" w:hAnsi="Arial" w:cs="Arial"/>
          <w:i/>
        </w:rPr>
        <w:t xml:space="preserve"> </w:t>
      </w:r>
      <w:proofErr w:type="spellStart"/>
      <w:r w:rsidR="00F24481" w:rsidRPr="00F24481">
        <w:rPr>
          <w:rFonts w:ascii="Arial" w:eastAsia="Arial" w:hAnsi="Arial" w:cs="Arial"/>
          <w:i/>
        </w:rPr>
        <w:t>milletlerarası</w:t>
      </w:r>
      <w:proofErr w:type="spellEnd"/>
      <w:r w:rsidR="00F24481" w:rsidRPr="00F24481">
        <w:rPr>
          <w:rFonts w:ascii="Arial" w:eastAsia="Arial" w:hAnsi="Arial" w:cs="Arial"/>
          <w:i/>
        </w:rPr>
        <w:t xml:space="preserve"> </w:t>
      </w:r>
      <w:proofErr w:type="spellStart"/>
      <w:r w:rsidR="00F24481" w:rsidRPr="00F24481">
        <w:rPr>
          <w:rFonts w:ascii="Arial" w:eastAsia="Arial" w:hAnsi="Arial" w:cs="Arial"/>
          <w:i/>
        </w:rPr>
        <w:t>andlaşmalar</w:t>
      </w:r>
      <w:proofErr w:type="spellEnd"/>
      <w:r w:rsidR="00F24481" w:rsidRPr="00F24481">
        <w:rPr>
          <w:rFonts w:ascii="Arial" w:eastAsia="Arial" w:hAnsi="Arial" w:cs="Arial"/>
          <w:i/>
        </w:rPr>
        <w:t xml:space="preserve"> kanun </w:t>
      </w:r>
      <w:proofErr w:type="spellStart"/>
      <w:r w:rsidR="00F24481" w:rsidRPr="00F24481">
        <w:rPr>
          <w:rFonts w:ascii="Arial" w:eastAsia="Arial" w:hAnsi="Arial" w:cs="Arial"/>
          <w:i/>
        </w:rPr>
        <w:t>hükmündedir</w:t>
      </w:r>
      <w:proofErr w:type="spellEnd"/>
      <w:r w:rsidR="00F24481" w:rsidRPr="00F24481">
        <w:rPr>
          <w:rFonts w:ascii="Arial" w:eastAsia="Arial" w:hAnsi="Arial" w:cs="Arial"/>
          <w:i/>
        </w:rPr>
        <w:t xml:space="preserve">. </w:t>
      </w:r>
      <w:proofErr w:type="spellStart"/>
      <w:r w:rsidR="00F24481" w:rsidRPr="00F24481">
        <w:rPr>
          <w:rFonts w:ascii="Arial" w:eastAsia="Arial" w:hAnsi="Arial" w:cs="Arial"/>
          <w:i/>
        </w:rPr>
        <w:t>Bunlar</w:t>
      </w:r>
      <w:proofErr w:type="spellEnd"/>
      <w:r w:rsidR="00F24481" w:rsidRPr="00F24481">
        <w:rPr>
          <w:rFonts w:ascii="Arial" w:eastAsia="Arial" w:hAnsi="Arial" w:cs="Arial"/>
          <w:i/>
        </w:rPr>
        <w:t xml:space="preserve"> </w:t>
      </w:r>
      <w:proofErr w:type="spellStart"/>
      <w:r w:rsidR="00F24481" w:rsidRPr="00F24481">
        <w:rPr>
          <w:rFonts w:ascii="Arial" w:eastAsia="Arial" w:hAnsi="Arial" w:cs="Arial"/>
          <w:i/>
        </w:rPr>
        <w:t>hakkında</w:t>
      </w:r>
      <w:proofErr w:type="spellEnd"/>
      <w:r w:rsidR="00F24481" w:rsidRPr="00F24481">
        <w:rPr>
          <w:rFonts w:ascii="Arial" w:eastAsia="Arial" w:hAnsi="Arial" w:cs="Arial"/>
          <w:i/>
        </w:rPr>
        <w:t xml:space="preserve"> </w:t>
      </w:r>
      <w:proofErr w:type="spellStart"/>
      <w:r w:rsidR="00F24481" w:rsidRPr="00F24481">
        <w:rPr>
          <w:rFonts w:ascii="Arial" w:eastAsia="Arial" w:hAnsi="Arial" w:cs="Arial"/>
          <w:i/>
        </w:rPr>
        <w:t>Anayasaya</w:t>
      </w:r>
      <w:proofErr w:type="spellEnd"/>
      <w:r w:rsidR="00F24481" w:rsidRPr="00F24481">
        <w:rPr>
          <w:rFonts w:ascii="Arial" w:eastAsia="Arial" w:hAnsi="Arial" w:cs="Arial"/>
          <w:i/>
        </w:rPr>
        <w:t xml:space="preserve"> </w:t>
      </w:r>
      <w:proofErr w:type="spellStart"/>
      <w:r w:rsidR="00F24481" w:rsidRPr="00F24481">
        <w:rPr>
          <w:rFonts w:ascii="Arial" w:eastAsia="Arial" w:hAnsi="Arial" w:cs="Arial"/>
          <w:i/>
        </w:rPr>
        <w:t>aykırılık</w:t>
      </w:r>
      <w:proofErr w:type="spellEnd"/>
      <w:r w:rsidR="00F24481" w:rsidRPr="00F24481">
        <w:rPr>
          <w:rFonts w:ascii="Arial" w:eastAsia="Arial" w:hAnsi="Arial" w:cs="Arial"/>
          <w:i/>
        </w:rPr>
        <w:t xml:space="preserve"> </w:t>
      </w:r>
      <w:proofErr w:type="spellStart"/>
      <w:r w:rsidR="00F24481" w:rsidRPr="00F24481">
        <w:rPr>
          <w:rFonts w:ascii="Arial" w:eastAsia="Arial" w:hAnsi="Arial" w:cs="Arial"/>
          <w:i/>
        </w:rPr>
        <w:t>iddiası</w:t>
      </w:r>
      <w:proofErr w:type="spellEnd"/>
      <w:r w:rsidR="00F24481" w:rsidRPr="00F24481">
        <w:rPr>
          <w:rFonts w:ascii="Arial" w:eastAsia="Arial" w:hAnsi="Arial" w:cs="Arial"/>
          <w:i/>
        </w:rPr>
        <w:t xml:space="preserve"> </w:t>
      </w:r>
      <w:proofErr w:type="spellStart"/>
      <w:r w:rsidR="00F24481" w:rsidRPr="00F24481">
        <w:rPr>
          <w:rFonts w:ascii="Arial" w:eastAsia="Arial" w:hAnsi="Arial" w:cs="Arial"/>
          <w:i/>
        </w:rPr>
        <w:t>ile</w:t>
      </w:r>
      <w:proofErr w:type="spellEnd"/>
      <w:r w:rsidR="00F24481" w:rsidRPr="00F24481">
        <w:rPr>
          <w:rFonts w:ascii="Arial" w:eastAsia="Arial" w:hAnsi="Arial" w:cs="Arial"/>
          <w:i/>
        </w:rPr>
        <w:t xml:space="preserve"> </w:t>
      </w:r>
      <w:proofErr w:type="spellStart"/>
      <w:r w:rsidR="00F24481" w:rsidRPr="00F24481">
        <w:rPr>
          <w:rFonts w:ascii="Arial" w:eastAsia="Arial" w:hAnsi="Arial" w:cs="Arial"/>
          <w:i/>
        </w:rPr>
        <w:t>Anayasa</w:t>
      </w:r>
      <w:proofErr w:type="spellEnd"/>
      <w:r w:rsidR="00F24481" w:rsidRPr="00F24481">
        <w:rPr>
          <w:rFonts w:ascii="Arial" w:eastAsia="Arial" w:hAnsi="Arial" w:cs="Arial"/>
          <w:i/>
        </w:rPr>
        <w:t xml:space="preserve"> </w:t>
      </w:r>
      <w:proofErr w:type="spellStart"/>
      <w:r w:rsidR="00F24481" w:rsidRPr="00F24481">
        <w:rPr>
          <w:rFonts w:ascii="Arial" w:eastAsia="Arial" w:hAnsi="Arial" w:cs="Arial"/>
          <w:i/>
        </w:rPr>
        <w:t>Mahkemesine</w:t>
      </w:r>
      <w:proofErr w:type="spellEnd"/>
      <w:r w:rsidR="00F24481" w:rsidRPr="00F24481">
        <w:rPr>
          <w:rFonts w:ascii="Arial" w:eastAsia="Arial" w:hAnsi="Arial" w:cs="Arial"/>
          <w:i/>
        </w:rPr>
        <w:t xml:space="preserve"> </w:t>
      </w:r>
      <w:proofErr w:type="spellStart"/>
      <w:r w:rsidR="00F24481" w:rsidRPr="00F24481">
        <w:rPr>
          <w:rFonts w:ascii="Arial" w:eastAsia="Arial" w:hAnsi="Arial" w:cs="Arial"/>
          <w:i/>
        </w:rPr>
        <w:t>başvurulamaz</w:t>
      </w:r>
      <w:proofErr w:type="spellEnd"/>
      <w:r w:rsidR="00F24481" w:rsidRPr="00F24481">
        <w:rPr>
          <w:rFonts w:ascii="Arial" w:eastAsia="Arial" w:hAnsi="Arial" w:cs="Arial"/>
          <w:i/>
        </w:rPr>
        <w:t xml:space="preserve">. </w:t>
      </w:r>
      <w:proofErr w:type="spellStart"/>
      <w:r w:rsidR="00F24481" w:rsidRPr="00F24481">
        <w:rPr>
          <w:rFonts w:ascii="Arial" w:eastAsia="Arial" w:hAnsi="Arial" w:cs="Arial"/>
          <w:i/>
        </w:rPr>
        <w:t>Usulüne</w:t>
      </w:r>
      <w:proofErr w:type="spellEnd"/>
      <w:r w:rsidR="00F24481" w:rsidRPr="00F24481">
        <w:rPr>
          <w:rFonts w:ascii="Arial" w:eastAsia="Arial" w:hAnsi="Arial" w:cs="Arial"/>
          <w:i/>
        </w:rPr>
        <w:t xml:space="preserve"> </w:t>
      </w:r>
      <w:proofErr w:type="spellStart"/>
      <w:r w:rsidR="00F24481" w:rsidRPr="00F24481">
        <w:rPr>
          <w:rFonts w:ascii="Arial" w:eastAsia="Arial" w:hAnsi="Arial" w:cs="Arial"/>
          <w:i/>
        </w:rPr>
        <w:t>göre</w:t>
      </w:r>
      <w:proofErr w:type="spellEnd"/>
      <w:r w:rsidR="00F24481" w:rsidRPr="00F24481">
        <w:rPr>
          <w:rFonts w:ascii="Arial" w:eastAsia="Arial" w:hAnsi="Arial" w:cs="Arial"/>
          <w:i/>
        </w:rPr>
        <w:t xml:space="preserve"> </w:t>
      </w:r>
      <w:proofErr w:type="spellStart"/>
      <w:r w:rsidR="00F24481" w:rsidRPr="00F24481">
        <w:rPr>
          <w:rFonts w:ascii="Arial" w:eastAsia="Arial" w:hAnsi="Arial" w:cs="Arial"/>
          <w:i/>
        </w:rPr>
        <w:t>yürürlüğe</w:t>
      </w:r>
      <w:proofErr w:type="spellEnd"/>
      <w:r w:rsidR="00F24481" w:rsidRPr="00F24481">
        <w:rPr>
          <w:rFonts w:ascii="Arial" w:eastAsia="Arial" w:hAnsi="Arial" w:cs="Arial"/>
          <w:i/>
        </w:rPr>
        <w:t xml:space="preserve"> </w:t>
      </w:r>
      <w:proofErr w:type="spellStart"/>
      <w:r w:rsidR="00F24481" w:rsidRPr="00F24481">
        <w:rPr>
          <w:rFonts w:ascii="Arial" w:eastAsia="Arial" w:hAnsi="Arial" w:cs="Arial"/>
          <w:i/>
        </w:rPr>
        <w:t>konulmuş</w:t>
      </w:r>
      <w:proofErr w:type="spellEnd"/>
      <w:r w:rsidR="00F24481" w:rsidRPr="00F24481">
        <w:rPr>
          <w:rFonts w:ascii="Arial" w:eastAsia="Arial" w:hAnsi="Arial" w:cs="Arial"/>
          <w:i/>
        </w:rPr>
        <w:t xml:space="preserve"> </w:t>
      </w:r>
      <w:proofErr w:type="spellStart"/>
      <w:r w:rsidR="00F24481" w:rsidRPr="00F24481">
        <w:rPr>
          <w:rFonts w:ascii="Arial" w:eastAsia="Arial" w:hAnsi="Arial" w:cs="Arial"/>
          <w:i/>
        </w:rPr>
        <w:t>temel</w:t>
      </w:r>
      <w:proofErr w:type="spellEnd"/>
      <w:r w:rsidR="00F24481" w:rsidRPr="00F24481">
        <w:rPr>
          <w:rFonts w:ascii="Arial" w:eastAsia="Arial" w:hAnsi="Arial" w:cs="Arial"/>
          <w:i/>
        </w:rPr>
        <w:t xml:space="preserve"> </w:t>
      </w:r>
      <w:proofErr w:type="spellStart"/>
      <w:r w:rsidR="00F24481" w:rsidRPr="00F24481">
        <w:rPr>
          <w:rFonts w:ascii="Arial" w:eastAsia="Arial" w:hAnsi="Arial" w:cs="Arial"/>
          <w:i/>
        </w:rPr>
        <w:t>hak</w:t>
      </w:r>
      <w:proofErr w:type="spellEnd"/>
      <w:r w:rsidR="00F24481" w:rsidRPr="00F24481">
        <w:rPr>
          <w:rFonts w:ascii="Arial" w:eastAsia="Arial" w:hAnsi="Arial" w:cs="Arial"/>
          <w:i/>
        </w:rPr>
        <w:t xml:space="preserve"> </w:t>
      </w:r>
      <w:proofErr w:type="spellStart"/>
      <w:r w:rsidR="00F24481" w:rsidRPr="00F24481">
        <w:rPr>
          <w:rFonts w:ascii="Arial" w:eastAsia="Arial" w:hAnsi="Arial" w:cs="Arial"/>
          <w:i/>
        </w:rPr>
        <w:t>ve</w:t>
      </w:r>
      <w:proofErr w:type="spellEnd"/>
      <w:r w:rsidR="00F24481" w:rsidRPr="00F24481">
        <w:rPr>
          <w:rFonts w:ascii="Arial" w:eastAsia="Arial" w:hAnsi="Arial" w:cs="Arial"/>
          <w:i/>
        </w:rPr>
        <w:t xml:space="preserve"> </w:t>
      </w:r>
      <w:proofErr w:type="spellStart"/>
      <w:r w:rsidR="00F24481" w:rsidRPr="00F24481">
        <w:rPr>
          <w:rFonts w:ascii="Arial" w:eastAsia="Arial" w:hAnsi="Arial" w:cs="Arial"/>
          <w:i/>
        </w:rPr>
        <w:t>özgürlüklere</w:t>
      </w:r>
      <w:proofErr w:type="spellEnd"/>
      <w:r w:rsidR="00F24481" w:rsidRPr="00F24481">
        <w:rPr>
          <w:rFonts w:ascii="Arial" w:eastAsia="Arial" w:hAnsi="Arial" w:cs="Arial"/>
          <w:i/>
        </w:rPr>
        <w:t xml:space="preserve"> </w:t>
      </w:r>
      <w:proofErr w:type="spellStart"/>
      <w:r w:rsidR="00F24481" w:rsidRPr="00F24481">
        <w:rPr>
          <w:rFonts w:ascii="Arial" w:eastAsia="Arial" w:hAnsi="Arial" w:cs="Arial"/>
          <w:i/>
        </w:rPr>
        <w:t>ilişkin</w:t>
      </w:r>
      <w:proofErr w:type="spellEnd"/>
      <w:r w:rsidR="00F24481" w:rsidRPr="00F24481">
        <w:rPr>
          <w:rFonts w:ascii="Arial" w:eastAsia="Arial" w:hAnsi="Arial" w:cs="Arial"/>
          <w:i/>
        </w:rPr>
        <w:t xml:space="preserve"> </w:t>
      </w:r>
      <w:proofErr w:type="spellStart"/>
      <w:r w:rsidR="00F24481" w:rsidRPr="00F24481">
        <w:rPr>
          <w:rFonts w:ascii="Arial" w:eastAsia="Arial" w:hAnsi="Arial" w:cs="Arial"/>
          <w:i/>
        </w:rPr>
        <w:t>milletlerarası</w:t>
      </w:r>
      <w:proofErr w:type="spellEnd"/>
      <w:r w:rsidR="00F24481" w:rsidRPr="00F24481">
        <w:rPr>
          <w:rFonts w:ascii="Arial" w:eastAsia="Arial" w:hAnsi="Arial" w:cs="Arial"/>
          <w:i/>
        </w:rPr>
        <w:t xml:space="preserve"> </w:t>
      </w:r>
      <w:proofErr w:type="spellStart"/>
      <w:r w:rsidR="00F24481" w:rsidRPr="00F24481">
        <w:rPr>
          <w:rFonts w:ascii="Arial" w:eastAsia="Arial" w:hAnsi="Arial" w:cs="Arial"/>
          <w:i/>
        </w:rPr>
        <w:t>andlaşmalarla</w:t>
      </w:r>
      <w:proofErr w:type="spellEnd"/>
      <w:r w:rsidR="00F24481" w:rsidRPr="00F24481">
        <w:rPr>
          <w:rFonts w:ascii="Arial" w:eastAsia="Arial" w:hAnsi="Arial" w:cs="Arial"/>
          <w:i/>
        </w:rPr>
        <w:t xml:space="preserve"> </w:t>
      </w:r>
      <w:proofErr w:type="spellStart"/>
      <w:r w:rsidR="00F24481" w:rsidRPr="00F24481">
        <w:rPr>
          <w:rFonts w:ascii="Arial" w:eastAsia="Arial" w:hAnsi="Arial" w:cs="Arial"/>
          <w:i/>
        </w:rPr>
        <w:t>kanunların</w:t>
      </w:r>
      <w:proofErr w:type="spellEnd"/>
      <w:r w:rsidR="00F24481" w:rsidRPr="00F24481">
        <w:rPr>
          <w:rFonts w:ascii="Arial" w:eastAsia="Arial" w:hAnsi="Arial" w:cs="Arial"/>
          <w:i/>
        </w:rPr>
        <w:t xml:space="preserve"> </w:t>
      </w:r>
      <w:proofErr w:type="spellStart"/>
      <w:r w:rsidR="00F24481" w:rsidRPr="00F24481">
        <w:rPr>
          <w:rFonts w:ascii="Arial" w:eastAsia="Arial" w:hAnsi="Arial" w:cs="Arial"/>
          <w:i/>
        </w:rPr>
        <w:t>aynı</w:t>
      </w:r>
      <w:proofErr w:type="spellEnd"/>
      <w:r w:rsidR="00F24481" w:rsidRPr="00F24481">
        <w:rPr>
          <w:rFonts w:ascii="Arial" w:eastAsia="Arial" w:hAnsi="Arial" w:cs="Arial"/>
          <w:i/>
        </w:rPr>
        <w:t xml:space="preserve"> </w:t>
      </w:r>
      <w:proofErr w:type="spellStart"/>
      <w:r w:rsidR="00F24481" w:rsidRPr="00F24481">
        <w:rPr>
          <w:rFonts w:ascii="Arial" w:eastAsia="Arial" w:hAnsi="Arial" w:cs="Arial"/>
          <w:i/>
        </w:rPr>
        <w:t>konuda</w:t>
      </w:r>
      <w:proofErr w:type="spellEnd"/>
      <w:r w:rsidR="00F24481" w:rsidRPr="00F24481">
        <w:rPr>
          <w:rFonts w:ascii="Arial" w:eastAsia="Arial" w:hAnsi="Arial" w:cs="Arial"/>
          <w:i/>
        </w:rPr>
        <w:t xml:space="preserve"> </w:t>
      </w:r>
      <w:proofErr w:type="spellStart"/>
      <w:r w:rsidR="00F24481" w:rsidRPr="00F24481">
        <w:rPr>
          <w:rFonts w:ascii="Arial" w:eastAsia="Arial" w:hAnsi="Arial" w:cs="Arial"/>
          <w:i/>
        </w:rPr>
        <w:t>farklı</w:t>
      </w:r>
      <w:proofErr w:type="spellEnd"/>
      <w:r w:rsidR="00F24481" w:rsidRPr="00F24481">
        <w:rPr>
          <w:rFonts w:ascii="Arial" w:eastAsia="Arial" w:hAnsi="Arial" w:cs="Arial"/>
          <w:i/>
        </w:rPr>
        <w:t xml:space="preserve"> </w:t>
      </w:r>
      <w:proofErr w:type="spellStart"/>
      <w:r w:rsidR="00F24481" w:rsidRPr="00F24481">
        <w:rPr>
          <w:rFonts w:ascii="Arial" w:eastAsia="Arial" w:hAnsi="Arial" w:cs="Arial"/>
          <w:i/>
        </w:rPr>
        <w:t>hükümler</w:t>
      </w:r>
      <w:proofErr w:type="spellEnd"/>
      <w:r w:rsidR="00F24481" w:rsidRPr="00F24481">
        <w:rPr>
          <w:rFonts w:ascii="Arial" w:eastAsia="Arial" w:hAnsi="Arial" w:cs="Arial"/>
          <w:i/>
        </w:rPr>
        <w:t xml:space="preserve"> </w:t>
      </w:r>
      <w:proofErr w:type="spellStart"/>
      <w:r w:rsidR="00F24481" w:rsidRPr="00F24481">
        <w:rPr>
          <w:rFonts w:ascii="Arial" w:eastAsia="Arial" w:hAnsi="Arial" w:cs="Arial"/>
          <w:i/>
        </w:rPr>
        <w:t>içermesi</w:t>
      </w:r>
      <w:proofErr w:type="spellEnd"/>
      <w:r w:rsidR="00F24481" w:rsidRPr="00F24481">
        <w:rPr>
          <w:rFonts w:ascii="Arial" w:eastAsia="Arial" w:hAnsi="Arial" w:cs="Arial"/>
          <w:i/>
        </w:rPr>
        <w:t xml:space="preserve"> </w:t>
      </w:r>
      <w:proofErr w:type="spellStart"/>
      <w:r w:rsidR="00F24481" w:rsidRPr="00F24481">
        <w:rPr>
          <w:rFonts w:ascii="Arial" w:eastAsia="Arial" w:hAnsi="Arial" w:cs="Arial"/>
          <w:i/>
        </w:rPr>
        <w:t>nedeniyle</w:t>
      </w:r>
      <w:proofErr w:type="spellEnd"/>
      <w:r w:rsidR="00F24481" w:rsidRPr="00F24481">
        <w:rPr>
          <w:rFonts w:ascii="Arial" w:eastAsia="Arial" w:hAnsi="Arial" w:cs="Arial"/>
          <w:i/>
        </w:rPr>
        <w:t xml:space="preserve"> </w:t>
      </w:r>
      <w:proofErr w:type="spellStart"/>
      <w:r w:rsidR="00F24481" w:rsidRPr="00F24481">
        <w:rPr>
          <w:rFonts w:ascii="Arial" w:eastAsia="Arial" w:hAnsi="Arial" w:cs="Arial"/>
          <w:i/>
        </w:rPr>
        <w:t>çıkabilecek</w:t>
      </w:r>
      <w:proofErr w:type="spellEnd"/>
      <w:r w:rsidR="00F24481" w:rsidRPr="00F24481">
        <w:rPr>
          <w:rFonts w:ascii="Arial" w:eastAsia="Arial" w:hAnsi="Arial" w:cs="Arial"/>
          <w:i/>
        </w:rPr>
        <w:t xml:space="preserve"> </w:t>
      </w:r>
      <w:proofErr w:type="spellStart"/>
      <w:r w:rsidR="00F24481" w:rsidRPr="00F24481">
        <w:rPr>
          <w:rFonts w:ascii="Arial" w:eastAsia="Arial" w:hAnsi="Arial" w:cs="Arial"/>
          <w:i/>
        </w:rPr>
        <w:t>uyuşmazlıklarda</w:t>
      </w:r>
      <w:proofErr w:type="spellEnd"/>
      <w:r w:rsidR="00F24481" w:rsidRPr="00F24481">
        <w:rPr>
          <w:rFonts w:ascii="Arial" w:eastAsia="Arial" w:hAnsi="Arial" w:cs="Arial"/>
          <w:i/>
        </w:rPr>
        <w:t xml:space="preserve"> </w:t>
      </w:r>
      <w:proofErr w:type="spellStart"/>
      <w:r w:rsidR="00F24481" w:rsidRPr="00F24481">
        <w:rPr>
          <w:rFonts w:ascii="Arial" w:eastAsia="Arial" w:hAnsi="Arial" w:cs="Arial"/>
          <w:i/>
        </w:rPr>
        <w:t>milletlerarası</w:t>
      </w:r>
      <w:proofErr w:type="spellEnd"/>
      <w:r w:rsidR="00F24481" w:rsidRPr="00F24481">
        <w:rPr>
          <w:rFonts w:ascii="Arial" w:eastAsia="Arial" w:hAnsi="Arial" w:cs="Arial"/>
          <w:i/>
        </w:rPr>
        <w:t xml:space="preserve"> </w:t>
      </w:r>
      <w:proofErr w:type="spellStart"/>
      <w:r w:rsidR="00F24481" w:rsidRPr="00F24481">
        <w:rPr>
          <w:rFonts w:ascii="Arial" w:eastAsia="Arial" w:hAnsi="Arial" w:cs="Arial"/>
          <w:i/>
        </w:rPr>
        <w:t>andlaşma</w:t>
      </w:r>
      <w:proofErr w:type="spellEnd"/>
      <w:r w:rsidR="00F24481" w:rsidRPr="00F24481">
        <w:rPr>
          <w:rFonts w:ascii="Arial" w:eastAsia="Arial" w:hAnsi="Arial" w:cs="Arial"/>
          <w:i/>
        </w:rPr>
        <w:t xml:space="preserve"> </w:t>
      </w:r>
      <w:proofErr w:type="spellStart"/>
      <w:r w:rsidR="00F24481" w:rsidRPr="00F24481">
        <w:rPr>
          <w:rFonts w:ascii="Arial" w:eastAsia="Arial" w:hAnsi="Arial" w:cs="Arial"/>
          <w:i/>
        </w:rPr>
        <w:t>hükümleri</w:t>
      </w:r>
      <w:proofErr w:type="spellEnd"/>
      <w:r w:rsidR="00F24481" w:rsidRPr="00F24481">
        <w:rPr>
          <w:rFonts w:ascii="Arial" w:eastAsia="Arial" w:hAnsi="Arial" w:cs="Arial"/>
          <w:i/>
        </w:rPr>
        <w:t xml:space="preserve"> </w:t>
      </w:r>
      <w:proofErr w:type="spellStart"/>
      <w:r w:rsidR="00F24481" w:rsidRPr="00F24481">
        <w:rPr>
          <w:rFonts w:ascii="Arial" w:eastAsia="Arial" w:hAnsi="Arial" w:cs="Arial"/>
          <w:i/>
        </w:rPr>
        <w:t>esas</w:t>
      </w:r>
      <w:proofErr w:type="spellEnd"/>
      <w:r w:rsidR="00F24481" w:rsidRPr="00F24481">
        <w:rPr>
          <w:rFonts w:ascii="Arial" w:eastAsia="Arial" w:hAnsi="Arial" w:cs="Arial"/>
          <w:i/>
        </w:rPr>
        <w:t xml:space="preserve"> </w:t>
      </w:r>
      <w:proofErr w:type="spellStart"/>
      <w:r w:rsidR="00F24481" w:rsidRPr="00F24481">
        <w:rPr>
          <w:rFonts w:ascii="Arial" w:eastAsia="Arial" w:hAnsi="Arial" w:cs="Arial"/>
          <w:i/>
        </w:rPr>
        <w:t>alınır</w:t>
      </w:r>
      <w:proofErr w:type="spellEnd"/>
      <w:r w:rsidR="00F24481" w:rsidRPr="00F24481">
        <w:rPr>
          <w:rFonts w:ascii="Arial" w:eastAsia="Arial" w:hAnsi="Arial" w:cs="Arial"/>
          <w:i/>
        </w:rPr>
        <w:t>.”</w:t>
      </w:r>
      <w:r w:rsidR="004903CC">
        <w:rPr>
          <w:rFonts w:ascii="Arial" w:eastAsia="Arial" w:hAnsi="Arial" w:cs="Arial"/>
          <w:lang w:val="tr-TR"/>
        </w:rPr>
        <w:t xml:space="preserve"> Nitekim iç hukukta da çocuğun üstün yararı korunmaktadır.</w:t>
      </w:r>
      <w:r w:rsidR="004903CC">
        <w:rPr>
          <w:rStyle w:val="DipnotBavurusu"/>
          <w:rFonts w:ascii="Arial" w:eastAsia="Arial" w:hAnsi="Arial" w:cs="Arial"/>
          <w:lang w:val="tr-TR"/>
        </w:rPr>
        <w:footnoteReference w:id="2"/>
      </w:r>
      <w:r w:rsidR="004903CC">
        <w:rPr>
          <w:rFonts w:ascii="Arial" w:eastAsia="Arial" w:hAnsi="Arial" w:cs="Arial"/>
          <w:lang w:val="tr-TR"/>
        </w:rPr>
        <w:t xml:space="preserve"> </w:t>
      </w:r>
      <w:r>
        <w:rPr>
          <w:rFonts w:ascii="Arial" w:eastAsia="Arial" w:hAnsi="Arial" w:cs="Arial"/>
          <w:lang w:val="tr-TR"/>
        </w:rPr>
        <w:t xml:space="preserve">Anayasa’nın 10 maddesinde </w:t>
      </w:r>
      <w:r w:rsidR="004903CC">
        <w:rPr>
          <w:rFonts w:ascii="Arial" w:eastAsia="Arial" w:hAnsi="Arial" w:cs="Arial"/>
          <w:lang w:val="tr-TR"/>
        </w:rPr>
        <w:t xml:space="preserve">de herhangi bir ayrım gözetilmeksizin herkesin </w:t>
      </w:r>
      <w:r>
        <w:rPr>
          <w:rFonts w:ascii="Arial" w:eastAsia="Arial" w:hAnsi="Arial" w:cs="Arial"/>
          <w:lang w:val="tr-TR"/>
        </w:rPr>
        <w:t>kanunlar önünde eşit</w:t>
      </w:r>
      <w:r w:rsidR="004903CC">
        <w:rPr>
          <w:rFonts w:ascii="Arial" w:eastAsia="Arial" w:hAnsi="Arial" w:cs="Arial"/>
          <w:lang w:val="tr-TR"/>
        </w:rPr>
        <w:t xml:space="preserve"> olduğu</w:t>
      </w:r>
      <w:r w:rsidR="0077786D">
        <w:rPr>
          <w:rFonts w:ascii="Arial" w:eastAsia="Arial" w:hAnsi="Arial" w:cs="Arial"/>
          <w:lang w:val="tr-TR"/>
        </w:rPr>
        <w:t xml:space="preserve"> güvence altına alınmıştır. </w:t>
      </w:r>
      <w:r w:rsidR="002C727C">
        <w:rPr>
          <w:rFonts w:ascii="Arial" w:eastAsia="Arial" w:hAnsi="Arial" w:cs="Arial"/>
          <w:lang w:val="tr-TR"/>
        </w:rPr>
        <w:t>Engelliliğe dayalı her tülü ayrımcılık Engelliler Hakkında Kanun’un 4. Maddesinde yasaklanmıştır.</w:t>
      </w:r>
    </w:p>
    <w:p w14:paraId="5E3823BC" w14:textId="6DFAEB94" w:rsidR="00D37FDE" w:rsidRPr="00D37FDE" w:rsidRDefault="00D37FDE" w:rsidP="002A79A2">
      <w:pPr>
        <w:jc w:val="both"/>
        <w:rPr>
          <w:rFonts w:ascii="Arial" w:eastAsia="Arial" w:hAnsi="Arial" w:cs="Arial"/>
          <w:lang w:val="tr-TR"/>
        </w:rPr>
      </w:pPr>
      <w:r w:rsidRPr="00D37FDE">
        <w:rPr>
          <w:rFonts w:ascii="Arial" w:eastAsia="Arial" w:hAnsi="Arial" w:cs="Arial"/>
          <w:lang w:val="tr-TR"/>
        </w:rPr>
        <w:t>Türk Medeni Kan</w:t>
      </w:r>
      <w:r w:rsidR="00F758D4">
        <w:rPr>
          <w:rFonts w:ascii="Arial" w:eastAsia="Arial" w:hAnsi="Arial" w:cs="Arial"/>
          <w:lang w:val="tr-TR"/>
        </w:rPr>
        <w:t>un</w:t>
      </w:r>
      <w:r w:rsidRPr="00D37FDE">
        <w:rPr>
          <w:rFonts w:ascii="Arial" w:eastAsia="Arial" w:hAnsi="Arial" w:cs="Arial"/>
          <w:lang w:val="tr-TR"/>
        </w:rPr>
        <w:t>u</w:t>
      </w:r>
      <w:r w:rsidR="00F758D4">
        <w:rPr>
          <w:rFonts w:ascii="Arial" w:eastAsia="Arial" w:hAnsi="Arial" w:cs="Arial"/>
          <w:lang w:val="tr-TR"/>
        </w:rPr>
        <w:t>’</w:t>
      </w:r>
      <w:r w:rsidRPr="00D37FDE">
        <w:rPr>
          <w:rFonts w:ascii="Arial" w:eastAsia="Arial" w:hAnsi="Arial" w:cs="Arial"/>
          <w:lang w:val="tr-TR"/>
        </w:rPr>
        <w:t>n</w:t>
      </w:r>
      <w:r w:rsidR="00F758D4">
        <w:rPr>
          <w:rFonts w:ascii="Arial" w:eastAsia="Arial" w:hAnsi="Arial" w:cs="Arial"/>
          <w:lang w:val="tr-TR"/>
        </w:rPr>
        <w:t>un</w:t>
      </w:r>
      <w:r w:rsidR="0077786D">
        <w:rPr>
          <w:rFonts w:ascii="Arial" w:eastAsia="Arial" w:hAnsi="Arial" w:cs="Arial"/>
          <w:lang w:val="tr-TR"/>
        </w:rPr>
        <w:t xml:space="preserve"> (TMK)</w:t>
      </w:r>
      <w:r w:rsidR="001F1F4A">
        <w:rPr>
          <w:rFonts w:ascii="Arial" w:eastAsia="Arial" w:hAnsi="Arial" w:cs="Arial"/>
          <w:lang w:val="tr-TR"/>
        </w:rPr>
        <w:t xml:space="preserve"> 305 ila </w:t>
      </w:r>
      <w:r w:rsidRPr="00D37FDE">
        <w:rPr>
          <w:rFonts w:ascii="Arial" w:eastAsia="Arial" w:hAnsi="Arial" w:cs="Arial"/>
          <w:lang w:val="tr-TR"/>
        </w:rPr>
        <w:t xml:space="preserve">320. maddeleri arasında evlat edinmenin şartları ve usulü düzenlenmiştir. </w:t>
      </w:r>
      <w:r w:rsidR="001F1F4A">
        <w:rPr>
          <w:rFonts w:ascii="Arial" w:eastAsia="Arial" w:hAnsi="Arial" w:cs="Arial"/>
          <w:lang w:val="tr-TR"/>
        </w:rPr>
        <w:t>Kanundaki maddelerin hiçbirinde sayılan</w:t>
      </w:r>
      <w:r w:rsidRPr="00D37FDE">
        <w:rPr>
          <w:rFonts w:ascii="Arial" w:eastAsia="Arial" w:hAnsi="Arial" w:cs="Arial"/>
          <w:lang w:val="tr-TR"/>
        </w:rPr>
        <w:t xml:space="preserve"> şartlar arasında ayrımcı bir koşul olan </w:t>
      </w:r>
      <w:r w:rsidR="00F24481">
        <w:rPr>
          <w:rFonts w:ascii="Arial" w:eastAsia="Arial" w:hAnsi="Arial" w:cs="Arial"/>
          <w:lang w:val="tr-TR"/>
        </w:rPr>
        <w:t>“</w:t>
      </w:r>
      <w:r w:rsidRPr="00D37FDE">
        <w:rPr>
          <w:rFonts w:ascii="Arial" w:eastAsia="Arial" w:hAnsi="Arial" w:cs="Arial"/>
          <w:lang w:val="tr-TR"/>
        </w:rPr>
        <w:t>engelli olmama</w:t>
      </w:r>
      <w:r w:rsidR="00F24481">
        <w:rPr>
          <w:rFonts w:ascii="Arial" w:eastAsia="Arial" w:hAnsi="Arial" w:cs="Arial"/>
          <w:lang w:val="tr-TR"/>
        </w:rPr>
        <w:t>”</w:t>
      </w:r>
      <w:r w:rsidRPr="00D37FDE">
        <w:rPr>
          <w:rFonts w:ascii="Arial" w:eastAsia="Arial" w:hAnsi="Arial" w:cs="Arial"/>
          <w:lang w:val="tr-TR"/>
        </w:rPr>
        <w:t xml:space="preserve"> şartı getirilmemiştir. Buna karşılık,</w:t>
      </w:r>
      <w:r>
        <w:rPr>
          <w:rFonts w:ascii="Arial" w:eastAsia="Arial" w:hAnsi="Arial" w:cs="Arial"/>
          <w:lang w:val="tr-TR"/>
        </w:rPr>
        <w:t xml:space="preserve"> </w:t>
      </w:r>
      <w:bookmarkStart w:id="0" w:name="_Hlk155870726"/>
      <w:r w:rsidRPr="00D37FDE">
        <w:rPr>
          <w:rFonts w:ascii="Arial" w:eastAsia="Arial" w:hAnsi="Arial" w:cs="Arial"/>
          <w:lang w:val="tr-TR"/>
        </w:rPr>
        <w:t>“Küçüklerin Evlat Edinilmesinde Aracılık Faaliyetlerinin Yürütülmesine İlişkin Tüzük</w:t>
      </w:r>
      <w:bookmarkEnd w:id="0"/>
      <w:r w:rsidRPr="00D37FDE">
        <w:rPr>
          <w:rFonts w:ascii="Arial" w:eastAsia="Arial" w:hAnsi="Arial" w:cs="Arial"/>
          <w:lang w:val="tr-TR"/>
        </w:rPr>
        <w:t>” ün 6. Maddesinde istenen belgeler sayılırken evlat edinmek için başvuran kişinin “fiziksel, zihinsel ve ruhsal bir engelinin bulunmadığını belirten sağlık kurulu raporu” s</w:t>
      </w:r>
      <w:r w:rsidR="001F1F4A">
        <w:rPr>
          <w:rFonts w:ascii="Arial" w:eastAsia="Arial" w:hAnsi="Arial" w:cs="Arial"/>
          <w:lang w:val="tr-TR"/>
        </w:rPr>
        <w:t>unması zorunluluğu getirilmektedir</w:t>
      </w:r>
      <w:r w:rsidRPr="00D37FDE">
        <w:rPr>
          <w:rFonts w:ascii="Arial" w:eastAsia="Arial" w:hAnsi="Arial" w:cs="Arial"/>
          <w:lang w:val="tr-TR"/>
        </w:rPr>
        <w:t>.</w:t>
      </w:r>
    </w:p>
    <w:p w14:paraId="038B98AC" w14:textId="76A3CA51" w:rsidR="002A79A2" w:rsidRDefault="00AD47E1" w:rsidP="002A79A2">
      <w:pPr>
        <w:jc w:val="both"/>
        <w:rPr>
          <w:rFonts w:ascii="Arial" w:eastAsia="Arial" w:hAnsi="Arial" w:cs="Arial"/>
          <w:lang w:val="tr-TR"/>
        </w:rPr>
      </w:pPr>
      <w:r w:rsidRPr="00AD47E1">
        <w:rPr>
          <w:rFonts w:ascii="Arial" w:eastAsia="Arial" w:hAnsi="Arial" w:cs="Arial"/>
          <w:lang w:val="tr-TR"/>
        </w:rPr>
        <w:t>Anılan</w:t>
      </w:r>
      <w:r w:rsidR="003F193F" w:rsidRPr="00AD47E1">
        <w:rPr>
          <w:rFonts w:ascii="Arial" w:eastAsia="Arial" w:hAnsi="Arial" w:cs="Arial"/>
          <w:lang w:val="tr-TR"/>
        </w:rPr>
        <w:t xml:space="preserve"> Tüzüğün 7. Maddesinde ba</w:t>
      </w:r>
      <w:r w:rsidR="006F3151" w:rsidRPr="00AD47E1">
        <w:rPr>
          <w:rFonts w:ascii="Arial" w:eastAsia="Arial" w:hAnsi="Arial" w:cs="Arial"/>
          <w:lang w:val="tr-TR"/>
        </w:rPr>
        <w:t>şvuruların incelenmesi süreci</w:t>
      </w:r>
      <w:r w:rsidR="003F193F" w:rsidRPr="00AD47E1">
        <w:rPr>
          <w:rFonts w:ascii="Arial" w:eastAsia="Arial" w:hAnsi="Arial" w:cs="Arial"/>
          <w:lang w:val="tr-TR"/>
        </w:rPr>
        <w:t xml:space="preserve"> detaylı bir</w:t>
      </w:r>
      <w:r w:rsidR="006F3151" w:rsidRPr="00AD47E1">
        <w:rPr>
          <w:rFonts w:ascii="Arial" w:eastAsia="Arial" w:hAnsi="Arial" w:cs="Arial"/>
          <w:lang w:val="tr-TR"/>
        </w:rPr>
        <w:t xml:space="preserve"> şekilde düzenlenmiş ve </w:t>
      </w:r>
      <w:r w:rsidRPr="00AD47E1">
        <w:rPr>
          <w:rFonts w:ascii="Arial" w:eastAsia="Arial" w:hAnsi="Arial" w:cs="Arial"/>
          <w:lang w:val="tr-TR"/>
        </w:rPr>
        <w:t xml:space="preserve">üçüncü fıkrasında </w:t>
      </w:r>
      <w:r w:rsidR="006F3151" w:rsidRPr="00AD47E1">
        <w:rPr>
          <w:rFonts w:ascii="Arial" w:eastAsia="Arial" w:hAnsi="Arial" w:cs="Arial"/>
          <w:lang w:val="tr-TR"/>
        </w:rPr>
        <w:t xml:space="preserve">“İncelemede karar vermeye yardımcı olacak her türlü belge talep edilerek başvuru sahiplerinin ve varsa birlikte yaşadıkları başka kişilerin kişilik, eğitim, kültürel özellikleri, ekonomik güçleri, sağlık durumları, aile bireylerinin birbirleriyle ve çevreleri ile olan ilişkileri, küçükten beklentileri, evlât edinmeye bakış açıları, bakım, eğitme ve yetiştirme konularına yaklaşımları, evlât edinmek istedikleri küçüğün özellikleri, başvuru sahiplerinin veya varsa altsoylarının tavır ve düşünceleri en az beş görüşme sonucu değerlendirilerek kapsamlı bir sosyal inceleme raporu hazırlanır.” hükmü getirilmiştir. </w:t>
      </w:r>
    </w:p>
    <w:p w14:paraId="6C4BD2AC" w14:textId="3FBCF137" w:rsidR="00812515" w:rsidRPr="00AD47E1" w:rsidRDefault="00812515" w:rsidP="00812515">
      <w:pPr>
        <w:jc w:val="both"/>
        <w:rPr>
          <w:rFonts w:ascii="Arial" w:eastAsia="Arial" w:hAnsi="Arial" w:cs="Arial"/>
          <w:lang w:val="tr-TR"/>
        </w:rPr>
      </w:pPr>
      <w:r>
        <w:rPr>
          <w:rFonts w:ascii="Arial" w:eastAsia="Arial" w:hAnsi="Arial" w:cs="Arial"/>
          <w:lang w:val="tr-TR"/>
        </w:rPr>
        <w:t>Evlat edinmek isteyen b</w:t>
      </w:r>
      <w:r w:rsidR="006F3151" w:rsidRPr="00AD47E1">
        <w:rPr>
          <w:rFonts w:ascii="Arial" w:eastAsia="Arial" w:hAnsi="Arial" w:cs="Arial"/>
          <w:lang w:val="tr-TR"/>
        </w:rPr>
        <w:t>aşvurucuların ve birlikte yaşadıkları kişilerin sağlık durumları</w:t>
      </w:r>
      <w:r w:rsidR="00AD47E1" w:rsidRPr="00AD47E1">
        <w:rPr>
          <w:rFonts w:ascii="Arial" w:eastAsia="Arial" w:hAnsi="Arial" w:cs="Arial"/>
          <w:lang w:val="tr-TR"/>
        </w:rPr>
        <w:t>nın</w:t>
      </w:r>
      <w:r w:rsidR="006F3151" w:rsidRPr="00AD47E1">
        <w:rPr>
          <w:rFonts w:ascii="Arial" w:eastAsia="Arial" w:hAnsi="Arial" w:cs="Arial"/>
          <w:lang w:val="tr-TR"/>
        </w:rPr>
        <w:t xml:space="preserve"> bu </w:t>
      </w:r>
      <w:r w:rsidR="00AD47E1" w:rsidRPr="00AD47E1">
        <w:rPr>
          <w:rFonts w:ascii="Arial" w:eastAsia="Arial" w:hAnsi="Arial" w:cs="Arial"/>
          <w:lang w:val="tr-TR"/>
        </w:rPr>
        <w:t xml:space="preserve">hüküm </w:t>
      </w:r>
      <w:r w:rsidR="006F3151" w:rsidRPr="00AD47E1">
        <w:rPr>
          <w:rFonts w:ascii="Arial" w:eastAsia="Arial" w:hAnsi="Arial" w:cs="Arial"/>
          <w:lang w:val="tr-TR"/>
        </w:rPr>
        <w:t>çerçeve</w:t>
      </w:r>
      <w:r w:rsidR="00AD47E1" w:rsidRPr="00AD47E1">
        <w:rPr>
          <w:rFonts w:ascii="Arial" w:eastAsia="Arial" w:hAnsi="Arial" w:cs="Arial"/>
          <w:lang w:val="tr-TR"/>
        </w:rPr>
        <w:t>sin</w:t>
      </w:r>
      <w:r w:rsidR="006F3151" w:rsidRPr="00AD47E1">
        <w:rPr>
          <w:rFonts w:ascii="Arial" w:eastAsia="Arial" w:hAnsi="Arial" w:cs="Arial"/>
          <w:lang w:val="tr-TR"/>
        </w:rPr>
        <w:t>de kapsamlı şekilde</w:t>
      </w:r>
      <w:r w:rsidR="00AD47E1" w:rsidRPr="00AD47E1">
        <w:rPr>
          <w:rFonts w:ascii="Arial" w:eastAsia="Arial" w:hAnsi="Arial" w:cs="Arial"/>
          <w:lang w:val="tr-TR"/>
        </w:rPr>
        <w:t xml:space="preserve"> değerlendirilmesi karşısında</w:t>
      </w:r>
      <w:r w:rsidR="00AD47E1">
        <w:rPr>
          <w:rFonts w:ascii="Arial" w:eastAsia="Arial" w:hAnsi="Arial" w:cs="Arial"/>
          <w:lang w:val="tr-TR"/>
        </w:rPr>
        <w:t>;</w:t>
      </w:r>
      <w:r w:rsidR="00AD47E1" w:rsidRPr="00AD47E1">
        <w:rPr>
          <w:rFonts w:ascii="Arial" w:eastAsia="Arial" w:hAnsi="Arial" w:cs="Arial"/>
          <w:lang w:val="tr-TR"/>
        </w:rPr>
        <w:t xml:space="preserve"> özellikle fiziksel engeli olan ancak evlat edinmeye ilişkin bu fiziksel engeli sorun oluşturmayabilecek kişilerin evlat edinmelerinin imkânsız kılınması hakkaniyete aykırıdır. </w:t>
      </w:r>
      <w:r>
        <w:rPr>
          <w:rFonts w:ascii="Arial" w:eastAsia="Arial" w:hAnsi="Arial" w:cs="Arial"/>
          <w:lang w:val="tr-TR"/>
        </w:rPr>
        <w:t>Kaldı ki Tüzükte 1 yıllık geçici bakım sözleşmesi, uzmanlar tarafından düzenli izlemelerin yapılıp rapora bağlanması, evlat edinme kararının yargı kararına bağlanması, evlat edinmede noksanlıkların tamamlanması, evlat edinme ilişkisinin kaldırılması gibi detaylı güvenceler de düzenlenmiştir.</w:t>
      </w:r>
    </w:p>
    <w:p w14:paraId="1D70A3B8" w14:textId="64C2EDE8" w:rsidR="003F193F" w:rsidRDefault="00AD47E1" w:rsidP="002A79A2">
      <w:pPr>
        <w:jc w:val="both"/>
        <w:rPr>
          <w:rFonts w:ascii="Arial" w:eastAsia="Arial" w:hAnsi="Arial" w:cs="Arial"/>
          <w:lang w:val="tr-TR"/>
        </w:rPr>
      </w:pPr>
      <w:r w:rsidRPr="00AD47E1">
        <w:rPr>
          <w:rFonts w:ascii="Arial" w:eastAsia="Arial" w:hAnsi="Arial" w:cs="Arial"/>
          <w:lang w:val="tr-TR"/>
        </w:rPr>
        <w:lastRenderedPageBreak/>
        <w:t xml:space="preserve">Evrensel </w:t>
      </w:r>
      <w:r>
        <w:rPr>
          <w:rFonts w:ascii="Arial" w:eastAsia="Arial" w:hAnsi="Arial" w:cs="Arial"/>
          <w:lang w:val="tr-TR"/>
        </w:rPr>
        <w:t xml:space="preserve">insan hakları sisteminin temel ilkeleri arasında yer alan “çocuğun üstün yararı ilkesi” çerçevesinde, evlat edinmek isteyenin fiziksel, zihinsel ve ruhsal engellilik durumunun evlat edinmeye etkisi incelenebilir. Ancak </w:t>
      </w:r>
      <w:r w:rsidR="001F1F4A">
        <w:rPr>
          <w:rFonts w:ascii="Arial" w:eastAsia="Arial" w:hAnsi="Arial" w:cs="Arial"/>
          <w:lang w:val="tr-TR"/>
        </w:rPr>
        <w:t xml:space="preserve">engelliliğin kategorik olarak evlat edinme hakkını ortadan kaldıran nedenler arasında sayılması doğrudan ayrımcılıktır. </w:t>
      </w:r>
    </w:p>
    <w:p w14:paraId="169A12E8" w14:textId="47274899" w:rsidR="00BA65E4" w:rsidRDefault="00BA65E4" w:rsidP="002A79A2">
      <w:pPr>
        <w:jc w:val="both"/>
        <w:rPr>
          <w:rFonts w:ascii="Arial" w:eastAsia="Arial" w:hAnsi="Arial" w:cs="Arial"/>
          <w:lang w:val="tr-TR"/>
        </w:rPr>
      </w:pPr>
      <w:r>
        <w:rPr>
          <w:rFonts w:ascii="Arial" w:eastAsia="Arial" w:hAnsi="Arial" w:cs="Arial"/>
          <w:lang w:val="tr-TR"/>
        </w:rPr>
        <w:t xml:space="preserve">Ayrıca bu hüküm, aile içinde özellikle erken çocukluk dönemine ilişkin olarak anneye biçilen toplumsal cinsiyet kalıpları nedeniyle engelli kadınların evlat edinme hakları üzerinde </w:t>
      </w:r>
      <w:r w:rsidR="00376203">
        <w:rPr>
          <w:rFonts w:ascii="Arial" w:eastAsia="Arial" w:hAnsi="Arial" w:cs="Arial"/>
          <w:lang w:val="tr-TR"/>
        </w:rPr>
        <w:t>da</w:t>
      </w:r>
      <w:r>
        <w:rPr>
          <w:rFonts w:ascii="Arial" w:eastAsia="Arial" w:hAnsi="Arial" w:cs="Arial"/>
          <w:lang w:val="tr-TR"/>
        </w:rPr>
        <w:t xml:space="preserve">ha </w:t>
      </w:r>
      <w:r w:rsidR="00376203">
        <w:rPr>
          <w:rFonts w:ascii="Arial" w:eastAsia="Arial" w:hAnsi="Arial" w:cs="Arial"/>
          <w:lang w:val="tr-TR"/>
        </w:rPr>
        <w:t xml:space="preserve">fazla </w:t>
      </w:r>
      <w:r>
        <w:rPr>
          <w:rFonts w:ascii="Arial" w:eastAsia="Arial" w:hAnsi="Arial" w:cs="Arial"/>
          <w:lang w:val="tr-TR"/>
        </w:rPr>
        <w:t xml:space="preserve">olumsuz </w:t>
      </w:r>
      <w:r w:rsidR="00376203">
        <w:rPr>
          <w:rFonts w:ascii="Arial" w:eastAsia="Arial" w:hAnsi="Arial" w:cs="Arial"/>
          <w:lang w:val="tr-TR"/>
        </w:rPr>
        <w:t>etki yaratır. Oysa i</w:t>
      </w:r>
      <w:r w:rsidRPr="00BA65E4">
        <w:rPr>
          <w:rFonts w:ascii="Arial" w:eastAsia="Arial" w:hAnsi="Arial" w:cs="Arial"/>
          <w:lang w:val="tr-TR"/>
        </w:rPr>
        <w:t xml:space="preserve">çinde yaşadığımız dünyada milyonlarca engelli </w:t>
      </w:r>
      <w:r w:rsidR="00376203">
        <w:rPr>
          <w:rFonts w:ascii="Arial" w:eastAsia="Arial" w:hAnsi="Arial" w:cs="Arial"/>
          <w:lang w:val="tr-TR"/>
        </w:rPr>
        <w:t xml:space="preserve">tek başlarına veya eşleri </w:t>
      </w:r>
      <w:proofErr w:type="gramStart"/>
      <w:r w:rsidR="00376203">
        <w:rPr>
          <w:rFonts w:ascii="Arial" w:eastAsia="Arial" w:hAnsi="Arial" w:cs="Arial"/>
          <w:lang w:val="tr-TR"/>
        </w:rPr>
        <w:t>ile</w:t>
      </w:r>
      <w:r w:rsidR="00BC2FA5">
        <w:rPr>
          <w:rFonts w:ascii="Arial" w:eastAsia="Arial" w:hAnsi="Arial" w:cs="Arial"/>
          <w:lang w:val="tr-TR"/>
        </w:rPr>
        <w:t xml:space="preserve"> </w:t>
      </w:r>
      <w:r w:rsidR="00376203">
        <w:rPr>
          <w:rFonts w:ascii="Arial" w:eastAsia="Arial" w:hAnsi="Arial" w:cs="Arial"/>
          <w:lang w:val="tr-TR"/>
        </w:rPr>
        <w:t>birlikte</w:t>
      </w:r>
      <w:proofErr w:type="gramEnd"/>
      <w:r w:rsidR="00376203">
        <w:rPr>
          <w:rFonts w:ascii="Arial" w:eastAsia="Arial" w:hAnsi="Arial" w:cs="Arial"/>
          <w:lang w:val="tr-TR"/>
        </w:rPr>
        <w:t xml:space="preserve"> </w:t>
      </w:r>
      <w:r w:rsidRPr="00BA65E4">
        <w:rPr>
          <w:rFonts w:ascii="Arial" w:eastAsia="Arial" w:hAnsi="Arial" w:cs="Arial"/>
          <w:lang w:val="tr-TR"/>
        </w:rPr>
        <w:t xml:space="preserve">ebeveyn </w:t>
      </w:r>
      <w:r w:rsidR="00BC2FA5">
        <w:rPr>
          <w:rFonts w:ascii="Arial" w:eastAsia="Arial" w:hAnsi="Arial" w:cs="Arial"/>
          <w:lang w:val="tr-TR"/>
        </w:rPr>
        <w:t xml:space="preserve">olarak </w:t>
      </w:r>
      <w:r w:rsidRPr="00BA65E4">
        <w:rPr>
          <w:rFonts w:ascii="Arial" w:eastAsia="Arial" w:hAnsi="Arial" w:cs="Arial"/>
          <w:lang w:val="tr-TR"/>
        </w:rPr>
        <w:t>çocuk sahibidir ve ebeveynlik yükümlüklerini yerine getirmektedir.</w:t>
      </w:r>
      <w:r w:rsidR="00BC2FA5">
        <w:rPr>
          <w:rFonts w:ascii="Arial" w:eastAsia="Arial" w:hAnsi="Arial" w:cs="Arial"/>
          <w:lang w:val="tr-TR"/>
        </w:rPr>
        <w:t xml:space="preserve"> </w:t>
      </w:r>
    </w:p>
    <w:p w14:paraId="55AC5DD3" w14:textId="456F7488" w:rsidR="00376203" w:rsidRPr="007F35AD" w:rsidRDefault="00376203" w:rsidP="00812515">
      <w:pPr>
        <w:jc w:val="both"/>
        <w:rPr>
          <w:rFonts w:ascii="Arial" w:eastAsia="Arial" w:hAnsi="Arial" w:cs="Arial"/>
          <w:lang w:val="tr-TR"/>
        </w:rPr>
      </w:pPr>
      <w:r w:rsidRPr="007F35AD">
        <w:rPr>
          <w:rFonts w:ascii="Arial" w:eastAsia="Arial" w:hAnsi="Arial" w:cs="Arial"/>
          <w:lang w:val="tr-TR"/>
        </w:rPr>
        <w:t>Madde genel anlamda engelli olmayı</w:t>
      </w:r>
      <w:r w:rsidR="007F35AD">
        <w:rPr>
          <w:rFonts w:ascii="Arial" w:eastAsia="Arial" w:hAnsi="Arial" w:cs="Arial"/>
          <w:lang w:val="tr-TR"/>
        </w:rPr>
        <w:t>,</w:t>
      </w:r>
      <w:r w:rsidRPr="007F35AD">
        <w:rPr>
          <w:rFonts w:ascii="Arial" w:eastAsia="Arial" w:hAnsi="Arial" w:cs="Arial"/>
          <w:lang w:val="tr-TR"/>
        </w:rPr>
        <w:t xml:space="preserve"> hakkın kullanıl</w:t>
      </w:r>
      <w:r w:rsidR="007F35AD" w:rsidRPr="007F35AD">
        <w:rPr>
          <w:rFonts w:ascii="Arial" w:eastAsia="Arial" w:hAnsi="Arial" w:cs="Arial"/>
          <w:lang w:val="tr-TR"/>
        </w:rPr>
        <w:t xml:space="preserve">masını ortadan kaldırıcı </w:t>
      </w:r>
      <w:r w:rsidRPr="007F35AD">
        <w:rPr>
          <w:rFonts w:ascii="Arial" w:eastAsia="Arial" w:hAnsi="Arial" w:cs="Arial"/>
          <w:lang w:val="tr-TR"/>
        </w:rPr>
        <w:t>nedenler arasında kabul etmektedir.  Düzenlemede kamu yararı yoktur ve hakkın özüne zarar veren ölçüsüz bir sınırlandırmadır. Özel hayat ve aile hayatına saygı hakkını sınırlandıran söz konusu hüküm</w:t>
      </w:r>
      <w:r w:rsidR="007F35AD" w:rsidRPr="007F35AD">
        <w:rPr>
          <w:rFonts w:ascii="Arial" w:eastAsia="Arial" w:hAnsi="Arial" w:cs="Arial"/>
          <w:lang w:val="tr-TR"/>
        </w:rPr>
        <w:t>,</w:t>
      </w:r>
      <w:r w:rsidRPr="007F35AD">
        <w:rPr>
          <w:rFonts w:ascii="Arial" w:eastAsia="Arial" w:hAnsi="Arial" w:cs="Arial"/>
          <w:lang w:val="tr-TR"/>
        </w:rPr>
        <w:t xml:space="preserve"> kanunu aşan bir niteliğe sahip olması nedeniyle kanunilik ilkesine de aykırıdır.  </w:t>
      </w:r>
    </w:p>
    <w:p w14:paraId="500B70C3" w14:textId="0389BD1F" w:rsidR="00F758D4" w:rsidRPr="007F35AD" w:rsidRDefault="00376203" w:rsidP="00812515">
      <w:pPr>
        <w:jc w:val="both"/>
        <w:rPr>
          <w:rFonts w:ascii="Arial" w:eastAsia="Arial" w:hAnsi="Arial" w:cs="Arial"/>
          <w:lang w:val="tr-TR"/>
        </w:rPr>
      </w:pPr>
      <w:r w:rsidRPr="007F35AD">
        <w:rPr>
          <w:rFonts w:ascii="Arial" w:eastAsia="Arial" w:hAnsi="Arial" w:cs="Arial"/>
          <w:lang w:val="tr-TR"/>
        </w:rPr>
        <w:t xml:space="preserve">Bu haliyle </w:t>
      </w:r>
      <w:r w:rsidR="001F1F4A" w:rsidRPr="007F35AD">
        <w:rPr>
          <w:rFonts w:ascii="Arial" w:eastAsia="Arial" w:hAnsi="Arial" w:cs="Arial"/>
          <w:lang w:val="tr-TR"/>
        </w:rPr>
        <w:t xml:space="preserve">Anayasa’nın 10. maddesinde yer alan eşitlik ve ayrımcılık yasağı hükmüne, engelliliğe dayalı ayrımcılığı önleme yükümlülüğünü içeren Engelliler Hakkında Kanun’a, Türkiye Cumhuriyeti’nin taraf olduğu Engelli Kişilerin Haklarına </w:t>
      </w:r>
      <w:r w:rsidRPr="007F35AD">
        <w:rPr>
          <w:rFonts w:ascii="Arial" w:eastAsia="Arial" w:hAnsi="Arial" w:cs="Arial"/>
          <w:lang w:val="tr-TR"/>
        </w:rPr>
        <w:t xml:space="preserve">İlişkin Sözleşme hükümlerine </w:t>
      </w:r>
      <w:r w:rsidR="001F1F4A" w:rsidRPr="007F35AD">
        <w:rPr>
          <w:rFonts w:ascii="Arial" w:eastAsia="Arial" w:hAnsi="Arial" w:cs="Arial"/>
          <w:lang w:val="tr-TR"/>
        </w:rPr>
        <w:t>açıkç</w:t>
      </w:r>
      <w:r w:rsidRPr="007F35AD">
        <w:rPr>
          <w:rFonts w:ascii="Arial" w:eastAsia="Arial" w:hAnsi="Arial" w:cs="Arial"/>
          <w:lang w:val="tr-TR"/>
        </w:rPr>
        <w:t>a aykırıdır ve doğrudan ayrımcılık yaratmaktadır.</w:t>
      </w:r>
    </w:p>
    <w:p w14:paraId="0CE653F2" w14:textId="2A70AA3E" w:rsidR="00812515" w:rsidRDefault="00812515" w:rsidP="00812515">
      <w:pPr>
        <w:jc w:val="both"/>
        <w:rPr>
          <w:rFonts w:ascii="Arial" w:eastAsia="Arial" w:hAnsi="Arial" w:cs="Arial"/>
          <w:lang w:val="tr-TR"/>
        </w:rPr>
      </w:pPr>
      <w:r>
        <w:rPr>
          <w:rFonts w:ascii="Arial" w:eastAsia="Arial" w:hAnsi="Arial" w:cs="Arial"/>
          <w:lang w:val="tr-TR"/>
        </w:rPr>
        <w:t>Yukarıdaki açıklamalarımız ve resen takdir edilecek nedenlerle s</w:t>
      </w:r>
      <w:r w:rsidRPr="00D37FDE">
        <w:rPr>
          <w:rFonts w:ascii="Arial" w:eastAsia="Arial" w:hAnsi="Arial" w:cs="Arial"/>
          <w:lang w:val="tr-TR"/>
        </w:rPr>
        <w:t xml:space="preserve">öz konusu ayrımcı hükmün </w:t>
      </w:r>
      <w:r>
        <w:rPr>
          <w:rFonts w:ascii="Arial" w:eastAsia="Arial" w:hAnsi="Arial" w:cs="Arial"/>
          <w:lang w:val="tr-TR"/>
        </w:rPr>
        <w:t>ilgili tüzükten çıkarılması, tüzük madd</w:t>
      </w:r>
      <w:r w:rsidR="002C727C">
        <w:rPr>
          <w:rFonts w:ascii="Arial" w:eastAsia="Arial" w:hAnsi="Arial" w:cs="Arial"/>
          <w:lang w:val="tr-TR"/>
        </w:rPr>
        <w:t>esinin insan hakları normlarına</w:t>
      </w:r>
      <w:r>
        <w:rPr>
          <w:rFonts w:ascii="Arial" w:eastAsia="Arial" w:hAnsi="Arial" w:cs="Arial"/>
          <w:lang w:val="tr-TR"/>
        </w:rPr>
        <w:t xml:space="preserve"> uygun olarak </w:t>
      </w:r>
      <w:r w:rsidR="002C727C">
        <w:rPr>
          <w:rFonts w:ascii="Arial" w:eastAsia="Arial" w:hAnsi="Arial" w:cs="Arial"/>
          <w:lang w:val="tr-TR"/>
        </w:rPr>
        <w:t>yeniden düzenlemesi için tavsiye kararı alınması, başvurumuzun sonucunun yazılı o</w:t>
      </w:r>
      <w:r w:rsidR="00D63E65">
        <w:rPr>
          <w:rFonts w:ascii="Arial" w:eastAsia="Arial" w:hAnsi="Arial" w:cs="Arial"/>
          <w:lang w:val="tr-TR"/>
        </w:rPr>
        <w:t>larak derneğimize bildirilmesi</w:t>
      </w:r>
      <w:r w:rsidR="002C727C">
        <w:rPr>
          <w:rFonts w:ascii="Arial" w:eastAsia="Arial" w:hAnsi="Arial" w:cs="Arial"/>
          <w:lang w:val="tr-TR"/>
        </w:rPr>
        <w:t xml:space="preserve"> konusunda gereğinin yapılmasını arz ederiz.</w:t>
      </w:r>
    </w:p>
    <w:p w14:paraId="10837F50" w14:textId="1FB7CE5F" w:rsidR="002C727C" w:rsidRDefault="002C727C" w:rsidP="00812515">
      <w:pPr>
        <w:jc w:val="both"/>
        <w:rPr>
          <w:rFonts w:ascii="Arial" w:eastAsia="Arial" w:hAnsi="Arial" w:cs="Arial"/>
          <w:lang w:val="tr-TR"/>
        </w:rPr>
      </w:pPr>
    </w:p>
    <w:p w14:paraId="6974CFBA" w14:textId="4EA727FE" w:rsidR="002C727C" w:rsidRDefault="002C727C" w:rsidP="00812515">
      <w:pPr>
        <w:jc w:val="both"/>
        <w:rPr>
          <w:rFonts w:ascii="Arial" w:eastAsia="Arial" w:hAnsi="Arial" w:cs="Arial"/>
        </w:rPr>
      </w:pPr>
      <w:r>
        <w:rPr>
          <w:rFonts w:ascii="Arial" w:eastAsia="Arial" w:hAnsi="Arial" w:cs="Arial"/>
          <w:lang w:val="tr-TR"/>
        </w:rPr>
        <w:t>Saygılarımızla</w:t>
      </w:r>
    </w:p>
    <w:p w14:paraId="5F35062C" w14:textId="77777777" w:rsidR="00500969" w:rsidRDefault="00500969" w:rsidP="00431728">
      <w:pPr>
        <w:ind w:firstLine="720"/>
        <w:jc w:val="both"/>
        <w:rPr>
          <w:rFonts w:ascii="Arial" w:eastAsia="Arial" w:hAnsi="Arial" w:cs="Arial"/>
        </w:rPr>
      </w:pPr>
    </w:p>
    <w:p w14:paraId="357C6308" w14:textId="77777777" w:rsidR="00500969" w:rsidRDefault="00500969" w:rsidP="00431728">
      <w:pPr>
        <w:ind w:firstLine="720"/>
        <w:jc w:val="both"/>
        <w:rPr>
          <w:rFonts w:ascii="Arial" w:eastAsia="Arial" w:hAnsi="Arial" w:cs="Arial"/>
        </w:rPr>
      </w:pPr>
    </w:p>
    <w:p w14:paraId="6BED2513" w14:textId="441403C4" w:rsidR="00F758D4" w:rsidRDefault="00F758D4" w:rsidP="002C727C">
      <w:pPr>
        <w:jc w:val="both"/>
        <w:rPr>
          <w:rFonts w:ascii="Arial" w:eastAsia="Arial" w:hAnsi="Arial" w:cs="Arial"/>
        </w:rPr>
      </w:pPr>
      <w:r>
        <w:rPr>
          <w:rFonts w:ascii="Arial" w:eastAsia="Arial" w:hAnsi="Arial" w:cs="Arial"/>
        </w:rPr>
        <w:t>Nejat Taştan</w:t>
      </w:r>
    </w:p>
    <w:p w14:paraId="03B431C2" w14:textId="77777777" w:rsidR="00F758D4" w:rsidRDefault="00F758D4" w:rsidP="002C727C">
      <w:pPr>
        <w:jc w:val="both"/>
        <w:rPr>
          <w:rFonts w:ascii="Arial" w:eastAsia="Arial" w:hAnsi="Arial" w:cs="Arial"/>
        </w:rPr>
      </w:pPr>
      <w:proofErr w:type="spellStart"/>
      <w:r>
        <w:rPr>
          <w:rFonts w:ascii="Arial" w:eastAsia="Arial" w:hAnsi="Arial" w:cs="Arial"/>
        </w:rPr>
        <w:t>Eşit</w:t>
      </w:r>
      <w:proofErr w:type="spellEnd"/>
      <w:r>
        <w:rPr>
          <w:rFonts w:ascii="Arial" w:eastAsia="Arial" w:hAnsi="Arial" w:cs="Arial"/>
        </w:rPr>
        <w:t xml:space="preserve"> Haklar </w:t>
      </w:r>
      <w:proofErr w:type="spellStart"/>
      <w:r>
        <w:rPr>
          <w:rFonts w:ascii="Arial" w:eastAsia="Arial" w:hAnsi="Arial" w:cs="Arial"/>
        </w:rPr>
        <w:t>İçin</w:t>
      </w:r>
      <w:proofErr w:type="spellEnd"/>
      <w:r>
        <w:rPr>
          <w:rFonts w:ascii="Arial" w:eastAsia="Arial" w:hAnsi="Arial" w:cs="Arial"/>
        </w:rPr>
        <w:t xml:space="preserve"> İzleme </w:t>
      </w:r>
      <w:proofErr w:type="spellStart"/>
      <w:r>
        <w:rPr>
          <w:rFonts w:ascii="Arial" w:eastAsia="Arial" w:hAnsi="Arial" w:cs="Arial"/>
        </w:rPr>
        <w:t>Derneği</w:t>
      </w:r>
      <w:proofErr w:type="spellEnd"/>
    </w:p>
    <w:p w14:paraId="32E589AA" w14:textId="77777777" w:rsidR="00F758D4" w:rsidRPr="00D37FDE" w:rsidRDefault="00F758D4" w:rsidP="002C727C">
      <w:pPr>
        <w:jc w:val="both"/>
        <w:rPr>
          <w:rFonts w:ascii="Arial" w:eastAsia="Arial" w:hAnsi="Arial" w:cs="Arial"/>
          <w:lang w:val="tr-TR"/>
        </w:rPr>
      </w:pPr>
      <w:proofErr w:type="spellStart"/>
      <w:r>
        <w:rPr>
          <w:rFonts w:ascii="Arial" w:eastAsia="Arial" w:hAnsi="Arial" w:cs="Arial"/>
        </w:rPr>
        <w:t>Yönetim</w:t>
      </w:r>
      <w:proofErr w:type="spellEnd"/>
      <w:r>
        <w:rPr>
          <w:rFonts w:ascii="Arial" w:eastAsia="Arial" w:hAnsi="Arial" w:cs="Arial"/>
        </w:rPr>
        <w:t xml:space="preserve"> </w:t>
      </w:r>
      <w:proofErr w:type="spellStart"/>
      <w:r>
        <w:rPr>
          <w:rFonts w:ascii="Arial" w:eastAsia="Arial" w:hAnsi="Arial" w:cs="Arial"/>
        </w:rPr>
        <w:t>Kurulu</w:t>
      </w:r>
      <w:proofErr w:type="spellEnd"/>
      <w:r>
        <w:rPr>
          <w:rFonts w:ascii="Arial" w:eastAsia="Arial" w:hAnsi="Arial" w:cs="Arial"/>
        </w:rPr>
        <w:t xml:space="preserve"> </w:t>
      </w:r>
      <w:proofErr w:type="spellStart"/>
      <w:r>
        <w:rPr>
          <w:rFonts w:ascii="Arial" w:eastAsia="Arial" w:hAnsi="Arial" w:cs="Arial"/>
        </w:rPr>
        <w:t>Başkanı</w:t>
      </w:r>
      <w:proofErr w:type="spellEnd"/>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sectPr w:rsidR="00F758D4" w:rsidRPr="00D37FDE">
      <w:headerReference w:type="default" r:id="rId12"/>
      <w:footerReference w:type="default" r:id="rId13"/>
      <w:pgSz w:w="11906" w:h="16838"/>
      <w:pgMar w:top="1417" w:right="1417" w:bottom="1417" w:left="1417" w:header="708"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C1221" w14:textId="77777777" w:rsidR="00C67BBF" w:rsidRDefault="00C67BBF">
      <w:pPr>
        <w:spacing w:after="0" w:line="240" w:lineRule="auto"/>
      </w:pPr>
      <w:r>
        <w:separator/>
      </w:r>
    </w:p>
  </w:endnote>
  <w:endnote w:type="continuationSeparator" w:id="0">
    <w:p w14:paraId="4F2326C3" w14:textId="77777777" w:rsidR="00C67BBF" w:rsidRDefault="00C67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947FF" w14:textId="0C7E868D" w:rsidR="002E5174" w:rsidRDefault="00376203">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00590A8E">
      <w:rPr>
        <w:rFonts w:ascii="Times New Roman" w:eastAsia="Times New Roman" w:hAnsi="Times New Roman" w:cs="Times New Roman"/>
        <w:color w:val="000000"/>
        <w:sz w:val="20"/>
        <w:szCs w:val="20"/>
      </w:rPr>
      <w:t xml:space="preserve">Çankaya </w:t>
    </w:r>
    <w:proofErr w:type="spellStart"/>
    <w:r w:rsidR="00590A8E">
      <w:rPr>
        <w:rFonts w:ascii="Times New Roman" w:eastAsia="Times New Roman" w:hAnsi="Times New Roman" w:cs="Times New Roman"/>
        <w:color w:val="000000"/>
        <w:sz w:val="20"/>
        <w:szCs w:val="20"/>
      </w:rPr>
      <w:t>Mh</w:t>
    </w:r>
    <w:proofErr w:type="spellEnd"/>
    <w:r w:rsidR="00590A8E">
      <w:rPr>
        <w:rFonts w:ascii="Times New Roman" w:eastAsia="Times New Roman" w:hAnsi="Times New Roman" w:cs="Times New Roman"/>
        <w:color w:val="000000"/>
        <w:sz w:val="20"/>
        <w:szCs w:val="20"/>
      </w:rPr>
      <w:t xml:space="preserve">. </w:t>
    </w:r>
    <w:proofErr w:type="spellStart"/>
    <w:r w:rsidR="00590A8E">
      <w:rPr>
        <w:rFonts w:ascii="Times New Roman" w:eastAsia="Times New Roman" w:hAnsi="Times New Roman" w:cs="Times New Roman"/>
        <w:color w:val="000000"/>
        <w:sz w:val="20"/>
        <w:szCs w:val="20"/>
      </w:rPr>
      <w:t>Göreme</w:t>
    </w:r>
    <w:proofErr w:type="spellEnd"/>
    <w:r w:rsidR="00590A8E">
      <w:rPr>
        <w:rFonts w:ascii="Times New Roman" w:eastAsia="Times New Roman" w:hAnsi="Times New Roman" w:cs="Times New Roman"/>
        <w:color w:val="000000"/>
        <w:sz w:val="20"/>
        <w:szCs w:val="20"/>
      </w:rPr>
      <w:t xml:space="preserve"> Sokak No:7 D:4 Çankaya/Ankara</w:t>
    </w:r>
  </w:p>
  <w:p w14:paraId="03BBAAB4" w14:textId="2F541182" w:rsidR="002E5174" w:rsidRDefault="00376203">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00590A8E">
      <w:rPr>
        <w:rFonts w:ascii="Times New Roman" w:eastAsia="Times New Roman" w:hAnsi="Times New Roman" w:cs="Times New Roman"/>
        <w:color w:val="000000"/>
        <w:sz w:val="20"/>
        <w:szCs w:val="20"/>
      </w:rPr>
      <w:t xml:space="preserve">e-mail: </w:t>
    </w:r>
    <w:hyperlink r:id="rId1">
      <w:r w:rsidR="00590A8E">
        <w:rPr>
          <w:rFonts w:ascii="Times New Roman" w:eastAsia="Times New Roman" w:hAnsi="Times New Roman" w:cs="Times New Roman"/>
          <w:color w:val="000000"/>
          <w:sz w:val="20"/>
          <w:szCs w:val="20"/>
        </w:rPr>
        <w:t>info@esithaklar.org</w:t>
      </w:r>
    </w:hyperlink>
    <w:r w:rsidR="00590A8E">
      <w:rPr>
        <w:rFonts w:ascii="Times New Roman" w:eastAsia="Times New Roman" w:hAnsi="Times New Roman" w:cs="Times New Roman"/>
        <w:color w:val="000000"/>
        <w:sz w:val="20"/>
        <w:szCs w:val="20"/>
      </w:rPr>
      <w:t xml:space="preserve"> | </w:t>
    </w:r>
    <w:hyperlink r:id="rId2">
      <w:r w:rsidR="00590A8E">
        <w:rPr>
          <w:rFonts w:ascii="Times New Roman" w:eastAsia="Times New Roman" w:hAnsi="Times New Roman" w:cs="Times New Roman"/>
          <w:color w:val="000000"/>
          <w:sz w:val="20"/>
          <w:szCs w:val="20"/>
        </w:rPr>
        <w:t>esithaklar@gmail.com</w:t>
      </w:r>
    </w:hyperlink>
  </w:p>
  <w:p w14:paraId="51905D2F" w14:textId="595E8E60" w:rsidR="002E5174" w:rsidRDefault="00376203">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00590A8E">
      <w:rPr>
        <w:rFonts w:ascii="Times New Roman" w:eastAsia="Times New Roman" w:hAnsi="Times New Roman" w:cs="Times New Roman"/>
        <w:color w:val="000000"/>
        <w:sz w:val="20"/>
        <w:szCs w:val="20"/>
      </w:rPr>
      <w:t>T: +90 312 468 21 52 | +90 501 212 72 77</w:t>
    </w:r>
  </w:p>
  <w:p w14:paraId="2A53AAD8" w14:textId="43909532" w:rsidR="002E5174" w:rsidRDefault="00376203">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sidR="00590A8E">
      <w:rPr>
        <w:rFonts w:ascii="Times New Roman" w:eastAsia="Times New Roman" w:hAnsi="Times New Roman" w:cs="Times New Roman"/>
        <w:b/>
        <w:color w:val="000000"/>
        <w:sz w:val="20"/>
        <w:szCs w:val="20"/>
      </w:rPr>
      <w:t>www.esithaklar.org</w:t>
    </w:r>
  </w:p>
  <w:p w14:paraId="66CDE0FB" w14:textId="77777777" w:rsidR="002E5174" w:rsidRDefault="002E517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p>
  <w:p w14:paraId="033CE616" w14:textId="77777777" w:rsidR="002E5174" w:rsidRDefault="002E5174">
    <w:pPr>
      <w:pBdr>
        <w:top w:val="nil"/>
        <w:left w:val="nil"/>
        <w:bottom w:val="nil"/>
        <w:right w:val="nil"/>
        <w:between w:val="nil"/>
      </w:pBdr>
      <w:tabs>
        <w:tab w:val="center" w:pos="4680"/>
        <w:tab w:val="right" w:pos="9360"/>
      </w:tabs>
      <w:spacing w:after="0" w:line="240" w:lineRule="auto"/>
      <w:rPr>
        <w:color w:val="000000"/>
      </w:rPr>
    </w:pPr>
  </w:p>
  <w:p w14:paraId="525398DB" w14:textId="77777777" w:rsidR="002E5174" w:rsidRDefault="002E517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18D2C" w14:textId="77777777" w:rsidR="00C67BBF" w:rsidRDefault="00C67BBF">
      <w:pPr>
        <w:spacing w:after="0" w:line="240" w:lineRule="auto"/>
      </w:pPr>
      <w:r>
        <w:separator/>
      </w:r>
    </w:p>
  </w:footnote>
  <w:footnote w:type="continuationSeparator" w:id="0">
    <w:p w14:paraId="68196A31" w14:textId="77777777" w:rsidR="00C67BBF" w:rsidRDefault="00C67BBF">
      <w:pPr>
        <w:spacing w:after="0" w:line="240" w:lineRule="auto"/>
      </w:pPr>
      <w:r>
        <w:continuationSeparator/>
      </w:r>
    </w:p>
  </w:footnote>
  <w:footnote w:id="1">
    <w:p w14:paraId="17E9BB0E" w14:textId="32FDA1F9" w:rsidR="00B1604B" w:rsidRPr="00B1604B" w:rsidRDefault="00B1604B">
      <w:pPr>
        <w:pStyle w:val="DipnotMetni"/>
        <w:rPr>
          <w:lang w:val="tr-TR"/>
        </w:rPr>
      </w:pPr>
      <w:r>
        <w:rPr>
          <w:rStyle w:val="DipnotBavurusu"/>
        </w:rPr>
        <w:footnoteRef/>
      </w:r>
      <w:hyperlink r:id="rId1" w:history="1">
        <w:r w:rsidRPr="00417DFC">
          <w:rPr>
            <w:rStyle w:val="Kpr"/>
          </w:rPr>
          <w:t>https://www.unicef.org/turkiye/media/7941/file/%C3%87HDS%20ve%20%C4%B0htiyari%20Protokoller,%20Usul%20Kurallar%C4%B1%20ile%20%C3%87ocuk%20Haklar%C4%B1%20Komitesi%20Genel%20Yorumlar%C4%B1.pdf</w:t>
        </w:r>
      </w:hyperlink>
      <w:r>
        <w:t xml:space="preserve"> </w:t>
      </w:r>
    </w:p>
  </w:footnote>
  <w:footnote w:id="2">
    <w:p w14:paraId="2B935F16" w14:textId="0F8EDCB9" w:rsidR="004903CC" w:rsidRPr="004903CC" w:rsidRDefault="004903CC">
      <w:pPr>
        <w:pStyle w:val="DipnotMetni"/>
        <w:rPr>
          <w:lang w:val="tr-TR"/>
        </w:rPr>
      </w:pPr>
      <w:r>
        <w:rPr>
          <w:rStyle w:val="DipnotBavurusu"/>
        </w:rPr>
        <w:footnoteRef/>
      </w:r>
      <w:r>
        <w:t xml:space="preserve"> </w:t>
      </w:r>
      <w:r>
        <w:rPr>
          <w:lang w:val="tr-TR"/>
        </w:rPr>
        <w:t>Türk Med</w:t>
      </w:r>
      <w:r w:rsidR="00231841">
        <w:rPr>
          <w:lang w:val="tr-TR"/>
        </w:rPr>
        <w:t>e</w:t>
      </w:r>
      <w:r>
        <w:rPr>
          <w:lang w:val="tr-TR"/>
        </w:rPr>
        <w:t>ni Kanunu, madde 305/2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B104D" w14:textId="0A5DA50A" w:rsidR="002E5174" w:rsidRDefault="00000000">
    <w:pPr>
      <w:pBdr>
        <w:top w:val="nil"/>
        <w:left w:val="nil"/>
        <w:bottom w:val="nil"/>
        <w:right w:val="nil"/>
        <w:between w:val="nil"/>
      </w:pBdr>
      <w:tabs>
        <w:tab w:val="center" w:pos="4680"/>
        <w:tab w:val="right" w:pos="9360"/>
      </w:tabs>
      <w:spacing w:after="0" w:line="240" w:lineRule="auto"/>
      <w:rPr>
        <w:color w:val="000000"/>
      </w:rPr>
    </w:pPr>
    <w:sdt>
      <w:sdtPr>
        <w:rPr>
          <w:color w:val="000000"/>
        </w:rPr>
        <w:id w:val="-1960714540"/>
        <w:docPartObj>
          <w:docPartGallery w:val="Page Numbers (Margins)"/>
          <w:docPartUnique/>
        </w:docPartObj>
      </w:sdtPr>
      <w:sdtContent>
        <w:r w:rsidR="00A22346" w:rsidRPr="00A22346">
          <w:rPr>
            <w:noProof/>
            <w:color w:val="000000"/>
            <w:lang w:val="tr-TR"/>
          </w:rPr>
          <mc:AlternateContent>
            <mc:Choice Requires="wps">
              <w:drawing>
                <wp:anchor distT="0" distB="0" distL="114300" distR="114300" simplePos="0" relativeHeight="251659264" behindDoc="0" locked="0" layoutInCell="0" allowOverlap="1" wp14:anchorId="748D8EEB" wp14:editId="232A1264">
                  <wp:simplePos x="0" y="0"/>
                  <wp:positionH relativeFrom="rightMargin">
                    <wp:align>right</wp:align>
                  </wp:positionH>
                  <wp:positionV relativeFrom="margin">
                    <wp:align>center</wp:align>
                  </wp:positionV>
                  <wp:extent cx="727710" cy="329565"/>
                  <wp:effectExtent l="0" t="0" r="0" b="381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B0C2B5" w14:textId="6132F25F" w:rsidR="00A22346" w:rsidRDefault="00A22346">
                              <w:pPr>
                                <w:pBdr>
                                  <w:bottom w:val="single" w:sz="4" w:space="1" w:color="auto"/>
                                </w:pBdr>
                              </w:pPr>
                              <w:r>
                                <w:fldChar w:fldCharType="begin"/>
                              </w:r>
                              <w:r>
                                <w:instrText>PAGE   \* MERGEFORMAT</w:instrText>
                              </w:r>
                              <w:r>
                                <w:fldChar w:fldCharType="separate"/>
                              </w:r>
                              <w:r w:rsidR="00F53AB7" w:rsidRPr="00F53AB7">
                                <w:rPr>
                                  <w:noProof/>
                                  <w:lang w:val="tr-TR"/>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48D8EEB" id="Dikdörtgen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" o:allowincell="f" stroked="f">
                  <v:textbox>
                    <w:txbxContent>
                      <w:p w14:paraId="75B0C2B5" w14:textId="6132F25F" w:rsidR="00A22346" w:rsidRDefault="00A22346">
                        <w:pPr>
                          <w:pBdr>
                            <w:bottom w:val="single" w:sz="4" w:space="1" w:color="auto"/>
                          </w:pBdr>
                        </w:pPr>
                        <w:r>
                          <w:fldChar w:fldCharType="begin"/>
                        </w:r>
                        <w:r>
                          <w:instrText>PAGE   \* MERGEFORMAT</w:instrText>
                        </w:r>
                        <w:r>
                          <w:fldChar w:fldCharType="separate"/>
                        </w:r>
                        <w:r w:rsidR="00F53AB7" w:rsidRPr="00F53AB7">
                          <w:rPr>
                            <w:noProof/>
                            <w:lang w:val="tr-TR"/>
                          </w:rPr>
                          <w:t>1</w:t>
                        </w:r>
                        <w:r>
                          <w:fldChar w:fldCharType="end"/>
                        </w:r>
                      </w:p>
                    </w:txbxContent>
                  </v:textbox>
                  <w10:wrap anchorx="margin" anchory="margin"/>
                </v:rect>
              </w:pict>
            </mc:Fallback>
          </mc:AlternateContent>
        </w:r>
      </w:sdtContent>
    </w:sdt>
    <w:r w:rsidR="00590A8E">
      <w:rPr>
        <w:noProof/>
        <w:color w:val="000000"/>
        <w:lang w:val="tr-TR"/>
      </w:rPr>
      <w:drawing>
        <wp:inline distT="0" distB="0" distL="0" distR="0" wp14:anchorId="6AFED60F" wp14:editId="4D66F230">
          <wp:extent cx="1435312" cy="649941"/>
          <wp:effectExtent l="0" t="0" r="0" b="0"/>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35312" cy="649941"/>
                  </a:xfrm>
                  <a:prstGeom prst="rect">
                    <a:avLst/>
                  </a:prstGeom>
                  <a:ln/>
                </pic:spPr>
              </pic:pic>
            </a:graphicData>
          </a:graphic>
        </wp:inline>
      </w:drawing>
    </w:r>
  </w:p>
  <w:p w14:paraId="75BD4903" w14:textId="77777777" w:rsidR="002E5174" w:rsidRDefault="002E5174">
    <w:pPr>
      <w:pBdr>
        <w:top w:val="nil"/>
        <w:left w:val="nil"/>
        <w:bottom w:val="nil"/>
        <w:right w:val="nil"/>
        <w:between w:val="nil"/>
      </w:pBdr>
      <w:tabs>
        <w:tab w:val="center" w:pos="4680"/>
        <w:tab w:val="right" w:pos="9360"/>
      </w:tabs>
      <w:spacing w:after="0" w:line="240" w:lineRule="auto"/>
      <w:rPr>
        <w:color w:val="000000"/>
      </w:rPr>
    </w:pPr>
  </w:p>
  <w:p w14:paraId="79A6FFA2" w14:textId="77777777" w:rsidR="002E5174" w:rsidRDefault="002E517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D76E0"/>
    <w:multiLevelType w:val="hybridMultilevel"/>
    <w:tmpl w:val="9BA0BAB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3B42B6B"/>
    <w:multiLevelType w:val="hybridMultilevel"/>
    <w:tmpl w:val="DC68FD6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92041493">
    <w:abstractNumId w:val="1"/>
  </w:num>
  <w:num w:numId="2" w16cid:durableId="677929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174"/>
    <w:rsid w:val="001D232D"/>
    <w:rsid w:val="001F1F4A"/>
    <w:rsid w:val="00205949"/>
    <w:rsid w:val="00231841"/>
    <w:rsid w:val="002A79A2"/>
    <w:rsid w:val="002C727C"/>
    <w:rsid w:val="002D508D"/>
    <w:rsid w:val="002E5174"/>
    <w:rsid w:val="0031691C"/>
    <w:rsid w:val="00376203"/>
    <w:rsid w:val="0038089A"/>
    <w:rsid w:val="003F193F"/>
    <w:rsid w:val="00431728"/>
    <w:rsid w:val="004903CC"/>
    <w:rsid w:val="004956AD"/>
    <w:rsid w:val="004A229A"/>
    <w:rsid w:val="00500969"/>
    <w:rsid w:val="00590A8E"/>
    <w:rsid w:val="005F657C"/>
    <w:rsid w:val="00645AAF"/>
    <w:rsid w:val="00666673"/>
    <w:rsid w:val="006E0D4B"/>
    <w:rsid w:val="006F3151"/>
    <w:rsid w:val="0077786D"/>
    <w:rsid w:val="007F35AD"/>
    <w:rsid w:val="00802E81"/>
    <w:rsid w:val="00811ED0"/>
    <w:rsid w:val="00812515"/>
    <w:rsid w:val="008133E2"/>
    <w:rsid w:val="00846DCB"/>
    <w:rsid w:val="008717D2"/>
    <w:rsid w:val="009C7225"/>
    <w:rsid w:val="00A22346"/>
    <w:rsid w:val="00A526CA"/>
    <w:rsid w:val="00AD47E1"/>
    <w:rsid w:val="00B1604B"/>
    <w:rsid w:val="00BA65E4"/>
    <w:rsid w:val="00BC2FA5"/>
    <w:rsid w:val="00BE0E95"/>
    <w:rsid w:val="00C67BBF"/>
    <w:rsid w:val="00D37FDE"/>
    <w:rsid w:val="00D63E65"/>
    <w:rsid w:val="00D87454"/>
    <w:rsid w:val="00E648F8"/>
    <w:rsid w:val="00EB5054"/>
    <w:rsid w:val="00EE76E9"/>
    <w:rsid w:val="00F24481"/>
    <w:rsid w:val="00F42536"/>
    <w:rsid w:val="00F53AB7"/>
    <w:rsid w:val="00F558EC"/>
    <w:rsid w:val="00F5683E"/>
    <w:rsid w:val="00F758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F7677"/>
  <w15:docId w15:val="{1DF2F496-90EB-4AC9-9E0E-C556FD690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ListeParagraf">
    <w:name w:val="List Paragraph"/>
    <w:basedOn w:val="Normal"/>
    <w:uiPriority w:val="34"/>
    <w:qFormat/>
    <w:rsid w:val="00703704"/>
    <w:pPr>
      <w:ind w:left="720"/>
      <w:contextualSpacing/>
    </w:pPr>
  </w:style>
  <w:style w:type="character" w:customStyle="1" w:styleId="jlqj4b">
    <w:name w:val="jlqj4b"/>
    <w:basedOn w:val="VarsaylanParagrafYazTipi"/>
    <w:rsid w:val="00703704"/>
  </w:style>
  <w:style w:type="character" w:customStyle="1" w:styleId="viiyi">
    <w:name w:val="viiyi"/>
    <w:basedOn w:val="VarsaylanParagrafYazTipi"/>
    <w:rsid w:val="00703704"/>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character" w:styleId="AklamaBavurusu">
    <w:name w:val="annotation reference"/>
    <w:basedOn w:val="VarsaylanParagrafYazTipi"/>
    <w:uiPriority w:val="99"/>
    <w:semiHidden/>
    <w:unhideWhenUsed/>
    <w:rsid w:val="00E17657"/>
    <w:rPr>
      <w:sz w:val="16"/>
      <w:szCs w:val="16"/>
    </w:rPr>
  </w:style>
  <w:style w:type="paragraph" w:styleId="AklamaMetni">
    <w:name w:val="annotation text"/>
    <w:basedOn w:val="Normal"/>
    <w:link w:val="AklamaMetniChar"/>
    <w:uiPriority w:val="99"/>
    <w:semiHidden/>
    <w:unhideWhenUsed/>
    <w:rsid w:val="00E1765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17657"/>
    <w:rPr>
      <w:sz w:val="20"/>
      <w:szCs w:val="20"/>
    </w:rPr>
  </w:style>
  <w:style w:type="paragraph" w:styleId="AklamaKonusu">
    <w:name w:val="annotation subject"/>
    <w:basedOn w:val="AklamaMetni"/>
    <w:next w:val="AklamaMetni"/>
    <w:link w:val="AklamaKonusuChar"/>
    <w:uiPriority w:val="99"/>
    <w:semiHidden/>
    <w:unhideWhenUsed/>
    <w:rsid w:val="00E17657"/>
    <w:rPr>
      <w:b/>
      <w:bCs/>
    </w:rPr>
  </w:style>
  <w:style w:type="character" w:customStyle="1" w:styleId="AklamaKonusuChar">
    <w:name w:val="Açıklama Konusu Char"/>
    <w:basedOn w:val="AklamaMetniChar"/>
    <w:link w:val="AklamaKonusu"/>
    <w:uiPriority w:val="99"/>
    <w:semiHidden/>
    <w:rsid w:val="00E17657"/>
    <w:rPr>
      <w:b/>
      <w:bCs/>
      <w:sz w:val="20"/>
      <w:szCs w:val="20"/>
    </w:rPr>
  </w:style>
  <w:style w:type="paragraph" w:styleId="BalonMetni">
    <w:name w:val="Balloon Text"/>
    <w:basedOn w:val="Normal"/>
    <w:link w:val="BalonMetniChar"/>
    <w:uiPriority w:val="99"/>
    <w:semiHidden/>
    <w:unhideWhenUsed/>
    <w:rsid w:val="00E1765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657"/>
    <w:rPr>
      <w:rFonts w:ascii="Segoe UI" w:hAnsi="Segoe UI" w:cs="Segoe UI"/>
      <w:sz w:val="18"/>
      <w:szCs w:val="18"/>
    </w:rPr>
  </w:style>
  <w:style w:type="paragraph" w:styleId="stBilgi">
    <w:name w:val="header"/>
    <w:basedOn w:val="Normal"/>
    <w:link w:val="stBilgiChar"/>
    <w:uiPriority w:val="99"/>
    <w:unhideWhenUsed/>
    <w:rsid w:val="008308E3"/>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8308E3"/>
  </w:style>
  <w:style w:type="paragraph" w:styleId="AltBilgi">
    <w:name w:val="footer"/>
    <w:basedOn w:val="Normal"/>
    <w:link w:val="AltBilgiChar"/>
    <w:uiPriority w:val="99"/>
    <w:unhideWhenUsed/>
    <w:rsid w:val="008308E3"/>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8308E3"/>
  </w:style>
  <w:style w:type="character" w:styleId="Kpr">
    <w:name w:val="Hyperlink"/>
    <w:basedOn w:val="VarsaylanParagrafYazTipi"/>
    <w:uiPriority w:val="99"/>
    <w:unhideWhenUsed/>
    <w:rsid w:val="00A8277B"/>
    <w:rPr>
      <w:color w:val="0563C1" w:themeColor="hyperlink"/>
      <w:u w:val="single"/>
    </w:rPr>
  </w:style>
  <w:style w:type="character" w:customStyle="1" w:styleId="zmlenmeyenBahsetme1">
    <w:name w:val="Çözümlenmeyen Bahsetme1"/>
    <w:basedOn w:val="VarsaylanParagrafYazTipi"/>
    <w:uiPriority w:val="99"/>
    <w:semiHidden/>
    <w:unhideWhenUsed/>
    <w:rsid w:val="00EB5054"/>
    <w:rPr>
      <w:color w:val="605E5C"/>
      <w:shd w:val="clear" w:color="auto" w:fill="E1DFDD"/>
    </w:rPr>
  </w:style>
  <w:style w:type="paragraph" w:styleId="NormalWeb">
    <w:name w:val="Normal (Web)"/>
    <w:basedOn w:val="Normal"/>
    <w:uiPriority w:val="99"/>
    <w:semiHidden/>
    <w:unhideWhenUsed/>
    <w:rsid w:val="00500969"/>
    <w:pPr>
      <w:spacing w:before="100" w:beforeAutospacing="1" w:after="100" w:afterAutospacing="1" w:line="240" w:lineRule="auto"/>
    </w:pPr>
    <w:rPr>
      <w:rFonts w:ascii="Times New Roman" w:eastAsia="Times New Roman" w:hAnsi="Times New Roman" w:cs="Times New Roman"/>
      <w:sz w:val="24"/>
      <w:szCs w:val="24"/>
      <w:lang w:val="tr-TR"/>
    </w:rPr>
  </w:style>
  <w:style w:type="character" w:styleId="Gl">
    <w:name w:val="Strong"/>
    <w:basedOn w:val="VarsaylanParagrafYazTipi"/>
    <w:uiPriority w:val="22"/>
    <w:qFormat/>
    <w:rsid w:val="00500969"/>
    <w:rPr>
      <w:b/>
      <w:bCs/>
    </w:rPr>
  </w:style>
  <w:style w:type="paragraph" w:styleId="DipnotMetni">
    <w:name w:val="footnote text"/>
    <w:basedOn w:val="Normal"/>
    <w:link w:val="DipnotMetniChar"/>
    <w:uiPriority w:val="99"/>
    <w:semiHidden/>
    <w:unhideWhenUsed/>
    <w:rsid w:val="00B1604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1604B"/>
    <w:rPr>
      <w:sz w:val="20"/>
      <w:szCs w:val="20"/>
    </w:rPr>
  </w:style>
  <w:style w:type="character" w:styleId="DipnotBavurusu">
    <w:name w:val="footnote reference"/>
    <w:basedOn w:val="VarsaylanParagrafYazTipi"/>
    <w:uiPriority w:val="99"/>
    <w:semiHidden/>
    <w:unhideWhenUsed/>
    <w:rsid w:val="00B160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756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sithaklar.org/wp-content/uploads/2019/10/engellilerin_adalete_erisimi_konferans_raporu.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esithaklar.org/wp-content/uploads/2019/07/engellilerin_adalete_erisimi_saha_arastirmasi.pdf" TargetMode="External"/><Relationship Id="rId4" Type="http://schemas.openxmlformats.org/officeDocument/2006/relationships/styles" Target="styles.xml"/><Relationship Id="rId9" Type="http://schemas.openxmlformats.org/officeDocument/2006/relationships/hyperlink" Target="https://www.esithaklar.org/wp-content/uploads/2012/06/ESHID-EngelliRaporu2011.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esithaklar@gmail.com" TargetMode="External"/><Relationship Id="rId1" Type="http://schemas.openxmlformats.org/officeDocument/2006/relationships/hyperlink" Target="mailto:info@esithaklar.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icef.org/turkiye/media/7941/file/%C3%87HDS%20ve%20%C4%B0htiyari%20Protokoller,%20Usul%20Kurallar%C4%B1%20ile%20%C3%87ocuk%20Haklar%C4%B1%20Komitesi%20Genel%20Yorumlar%C4%B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8SZ7Y2cLVfZxU+eygZZs0XpmdA==">CgMxLjA4AHIhMU1uZFlvT1NSVmpDd0FVY2w1dEU5U05zYlRDOTBRMTln</go:docsCustomData>
</go:gDocsCustomXmlDataStorage>
</file>

<file path=customXml/itemProps1.xml><?xml version="1.0" encoding="utf-8"?>
<ds:datastoreItem xmlns:ds="http://schemas.openxmlformats.org/officeDocument/2006/customXml" ds:itemID="{ADE74F3D-ACE8-4900-B5A7-81A4D430B12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1546</Words>
  <Characters>8815</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 d</cp:lastModifiedBy>
  <cp:revision>9</cp:revision>
  <cp:lastPrinted>2024-01-12T10:32:00Z</cp:lastPrinted>
  <dcterms:created xsi:type="dcterms:W3CDTF">2024-01-12T09:11:00Z</dcterms:created>
  <dcterms:modified xsi:type="dcterms:W3CDTF">2024-01-12T10:34:00Z</dcterms:modified>
</cp:coreProperties>
</file>